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ZD21.026553 vom 31. Januar 2022</w:t>
      </w:r>
    </w:p>
    <w:p>
      <w:r>
        <w:t>VD Tribunal cantonal, 2022-01-31, FR</w:t>
      </w:r>
    </w:p>
    <w:p>
      <w:r>
        <w:rPr>
          <w:b/>
        </w:rPr>
        <w:t xml:space="preserve">Quelle: </w:t>
      </w:r>
      <w:r>
        <w:t>https://mcp.opencaselaw.ch/entscheid/vd_gerichte_ZD21.026553</w:t>
      </w:r>
    </w:p>
    <w:p>
      <w:r>
        <w:t>FR: VD_GERICHTE ZD21.026553 du 31 janvier 2022</w:t>
      </w:r>
    </w:p>
    <w:p>
      <w:r>
        <w:t>IT: VD_GERICHTE ZD21.026553 del 31 gennaio 2022</w:t>
      </w:r>
    </w:p>
    <w:p>
      <w:pPr>
        <w:pStyle w:val="Heading2"/>
      </w:pPr>
      <w:r>
        <w:t>Erwägungen</w:t>
      </w:r>
    </w:p>
    <w:p>
      <w:r>
        <w:rPr>
          <w:b/>
        </w:rPr>
        <w:t>E. 15</w:t>
      </w:r>
    </w:p>
    <w:p>
      <w:r>
        <w:t>juin 2017, tout en ignorant les modalités du service de ces prestations qui y étaient simultanément mentionnées (cf. TF 9C_174/2017 du 3 octobre 2017 consid. 6). De même, la poursuite des versements par l’intimé, nonobstant l’annonce de la détention du recourant, respectivement la longueur de traitement de ladite annonce par l’intimé, ne sauraient permettre de considérer que le recourant était de bonne foi. Il était en effet exigible de ce dernier qu’il s’enquière auprès de l’intimé, respectivement de la Caisse, des raisons d’être de la poursuite du versement de la rente, en contradiction avec les informations reçues de son conseil, et de s’assurer qu’il était autorisé à disposer de ces prestations sans s’exposer à leur restitution ; la bonne foi ne saurait ainsi être retenue (cf. ATF 130 V 414 consid. 4.3 et TF 8C_364/2019 du 9 juillet 2020 consid. 4.2 et la référence). En l’occurrence, le recourant ne peut invoquer sa bonne foi, son omission constituant une négligence grave de son obligation d’annoncer. b) Les deux conditions prévues par les art. 25 al. 1 LPGA et 4 al. 1 OPGA étant cumulatives, il n’est pas nécessaire d’examiner plus avant si l’obligation de restituer mettrait l’assuré dans une situation difficile.</w:t>
      </w:r>
    </w:p>
    <w:p>
      <w:r>
        <w:t>- 8 - c) Eu égard à ce qui précède, les conditions permettant la remise de l’obligation de restituer le montant de 13'305 fr. n’étant pas réalisées, l’intimé était fondé à rejeter la demande déposée dans ce sens par le recourant. 6. a) En définitive, le recours de W.________ doit être rejeté. Partant, la décision du 20 mai 2021 est confirmée. b) La procédure ne porte pas sur l’octroi ou le refus de prestations d’assurance, au sens des art. 61 let. f bis LPGA ou 69 al. 1 bis LAI.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 fr., compte tenu de l’importance et de la difficulté de la cause (art. 4 al. 1 TFJDA). c) Il n’y a pas lieu d’allouer de dépens à la partie recourante qui a procédé sans mandataire qualifié et n’obtient pas gain de cause et (art. 61 let. g LPGA ; ATF 127 V 205 consid. 4b). Par ces motifs, la juge unique p r o n o n c e : I. Le recours est rejeté.</w:t>
      </w:r>
    </w:p>
    <w:p>
      <w:r>
        <w:t>- 9 - II. La décision rendue le 20 mai 2021 par Office de l'assurance- invalidité pour le canton de Vaud, est confirmée. III. Les frais judiciaires, arrêtés à 400 fr. (quatre cents francs), sont mis à la charge de W.________. IV. Il n’est pas alloué d’indemnité de dépens. La juge unique : La greffière : Du L'arrêt qui précède est notifié à : - K.________ (pour W.________),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