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ZD21.024639 vom 30. August 2022</w:t>
      </w:r>
    </w:p>
    <w:p>
      <w:r>
        <w:t>VD Tribunal cantonal, 2022-08-30, FR</w:t>
      </w:r>
    </w:p>
    <w:p>
      <w:r>
        <w:rPr>
          <w:b/>
        </w:rPr>
        <w:t xml:space="preserve">Quelle: </w:t>
      </w:r>
      <w:r>
        <w:t>https://mcp.opencaselaw.ch/entscheid/vd_gerichte_ZD21.024639</w:t>
      </w:r>
    </w:p>
    <w:p>
      <w:r>
        <w:t>FR: VD_GERICHTE ZD21.024639 du 30 août 2022</w:t>
      </w:r>
    </w:p>
    <w:p>
      <w:r>
        <w:t>IT: VD_GERICHTE ZD21.024639 del 30 agosto 2022</w:t>
      </w:r>
    </w:p>
    <w:p>
      <w:pPr>
        <w:pStyle w:val="Heading2"/>
      </w:pPr>
      <w:r>
        <w:t>Erwägungen</w:t>
      </w:r>
    </w:p>
    <w:p>
      <w:r>
        <w:rPr>
          <w:b/>
        </w:rPr>
        <w:t>E. 21</w:t>
      </w:r>
    </w:p>
    <w:p>
      <w:r>
        <w:t>janvier 2021, l’OAI a reconnu le droit de l’assuré à une rente entière d’invalidité du 1er septembre 2018 au 31 août 2019, basée sur un degré d’invalidité de 100 %. Il a retenu que l’assuré avait présenté une incapacité de travail dans toute activité depuis le 25 septembre 2017, ce qui ouvrait le droit à une rente dès le 1er septembre 2018, soit à l’échéance du délai d’attente d’une année. Si l’incapacité de travail dans l’activité habituelle d’ouvrier de la construction prévalait toujours après mi-mai 2019, une capacité de travail de 80 % à compter de cette date lui était reconnue dans une activité respectant ses limitations fonctionnelles, ce qui entraînait un degré d’invalidité de 23,4 % qui n’ouvrait pas le droit à une rente, de sorte que la rente s’éteignait le 31 août 2019. Pour déterminer le degré d’invalidité, l’OAI a comparé un revenu de 64'018 fr. 50 que l’assuré aurait pu réaliser en 2019 dans son activité précédente selon les indications fournies par l’employeur à un revenu de 49'035 fr. 96 pouvant être réalisé au taux de 80 % dans une activité adaptée selon les données salariales statistiques de l’Enquête suisse sur la structure des salaires (ESS 2018, TA1_tirage_skill_level, niveau de compétence 1, après indexation à 2019) et en tenant compte d’un abattement de 10 % sur le revenu avec invalidité au vu des limitations fonctionnelles et du taux d’occupation. L’OAI a par ailleurs nié le droit à des mesures d’ordre professionnel, estimant qu’aucune mesure professionnelle ne permettrait de réduire le préjudice économique. L’aide au placement ne se justifiait pas non plus dès lors que l’assuré s’estimait incapable de reprendre une activité professionnelle, l’OAI relevant à ce sujet qu’une aide au placement pouvait être demandée ultérieurement par l’assuré s’il le souhaitait. B. Par acte du 4 juin 2021, N.________, représenté par l’avocat Marc-Aurèle Vollenweider, a recouru auprès de la Cour des assurances sociales du Tribunal cantonal contre la décision précitée, concluant à son annulation et à l’octroi d’une rente d’invalidité. Il conteste l’appréciation de l’OAI sur sa capacité de travail résiduelle, estimant qu’elle est théorique et ne prend pas en compte sa situation réelle. Il critique également le revenu avec invalidité retenu par l’OAI, alléguant qu’il devrait correspondre à 60 % du montant qu’il réaliserait s’il était en bonne</w:t>
      </w:r>
    </w:p>
    <w:p>
      <w:r>
        <w:t>- 8 - santé, soit 38'570 fr. (60 % de 64'018 fr. 50). Il soutient également qu’un abattement de 25 % doit être opéré au vu de sa situation particulière. Dans sa réponse du 15 juillet 2021, l’OAI a proposé le rejet du recours et la confirmation de la décision attaquée. Dans sa réplique du 24 septembre 2021, le recourant a requis la mise en œuvre d’une expertise tendant à la détermination de la capacité de travail exigible, du revenu sans invalidité, de son préjudice économique et de l’évolution future de sa capacité de travail. En substance, il allègue que l’appréciation du Dr J.________ est partiale et n’offre pas les garanties d’indépendance nécessaires et que le calcul du revenu sans invalidité de l’intimé, en particulier la réduction de 10 % opérée en raison des limitations fonctionnelles et du taux d’occupation, ne repose sur aucun élément vérifiable. L’intimé a maintenu sa position aux termes de sa duplique du</w:t>
      </w:r>
    </w:p>
    <w:p>
      <w:r>
        <w:rPr>
          <w:b/>
        </w:rPr>
        <w:t>E. 24</w:t>
      </w:r>
    </w:p>
    <w:p>
      <w:r>
        <w:t>septembre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- 9 - 2. Le litige porte sur le droit du recourant à une rente d’invalidité.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6 mai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w:t>
      </w:r>
    </w:p>
    <w:p>
      <w:r>
        <w:t>- 10 -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Aux termes de l’art. 17 LPGA, dans sa teneur en vigueur au 31 décembre 2021, si le taux d’invalidité du bénéficiaire de la rente subit une modification notable, la rente est, d’office ou sur demande, révisée pour l’avenir, à savoir augmentée ou réduite en conséquence, ou encore supprimée. Dans ce contexte,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(règlement du 17 janvier 1961 sur l’assurance-invalidité ; RS 831.201) (Michel Valterio, Droit de l’assurance-vieillesse et survivants [AVS] et de l’assurance- invalidité [AI], Genève/Zurich/Bâle 2011, n° 3068 et les références citées ; TF 9C_134/2015 du 3 septembre 2015 consid. 4.1 et les références citées).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- 11 -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w:t>
      </w:r>
    </w:p>
    <w:p>
      <w:r>
        <w:t>- 12 - sur l’exactitude de leurs conclusions (ATF 135 V 465 consid. 4.7 ; TF 8C_796/2016 du 14 juin 2017 consid. 3.3). c) On ajoutera que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En l’espèce, l’intimé s’est basé sur les conclusions du Dr J.________ pour retenir que le recourant avait présenté une incapacité de travail dans toute activité dès le 25 septembre 2017, puis que son état de santé s’était amélioré à partir de la mi-mai 2019 rendant ainsi exigible l’exercice d’une activité adaptée au taux de 80 % à compter de cette date. Il a par conséquent alloué une rente entière du 1er septembre 2018 au 31 août 2019, en tenant compte du délai de trois mois prévu à l’art. 88a RAI. Le recourant estime qu’il n’a pas retrouvé de capacité de travail. b) Il convient tout d’abord de relever qu’au vu de la jurisprudence précitée (consid. 5b), l’avis du Dr J.________ ne peut être écarté pour le seul motif qu’il travaille au SMR, et qu’en l’espèce rien ne laisse suspecter une partialité de la part de ce médecin. Dans son rapport du 7 octobre 2020, le Dr J.________ a relevé que le recourant avait développé en juin 2017 des douleurs lombaires irradiant à la face postéro-externe du membre inférieur gauche jusqu’au 5ème orteil avec blocage de ce membre, des douleurs et fourmillements du bras et de l’avant-bras gauche irradiant jusqu’aux trois derniers doigts gauches, ainsi que des cervicalgies. Le fait d’avoir bénéficié d’un</w:t>
      </w:r>
    </w:p>
    <w:p>
      <w:r>
        <w:t>- 13 - stimulateur médullaire en février 2019 avait permis une diminution des douleurs et le recourant signalait ne plus être réveillé la nuit, même s’il rencontrait des difficultés d’endormissement. Il mentionnait en outre un dérouillage matinal de quatre à cinq minutes. Toujours selon les indications du recourant, la position assise était limitée à 10 minutes par les lombalgies et la position debout était également restreinte à 10 minutes en raison de tremblements et de secousses du membre inférieur gauche. Le périmètre de marche était restreint à 15-30 minutes en raison des lombosciatalgies gauches et d’une fatigue. Les douleurs étaient cotées entre 5/10 et 6/10 et le recourant ne signalait pas de douleurs ailleurs (rapport du Dr J.________ du 7 octobre 2020, p. 4). Au status ostéoarticulaire et neurologique, le recourant déambulait avec une boiterie d’appui du membre inférieur droit dans la salle d’examen. La marche sur la pointe des pieds et les talons était possible, mais la marche sur les talons était un peu laborieuse. L’accroupissement était très discrètement limité, entraînant des douleurs de la face postérieure du genou gauche, et le relèvement se faisait sans aide extérieure. Le recourant présentait une amyotrophie de la cuisse droite. Le Dr J.________ a constaté que le reste du status neurologique était parfaitement normal. Il n’y avait notamment pas de troubles des réflexes ni sensitivomoteurs au niveau des quatre membres. Il n’y avait par ailleurs pas de syndrome radiculaire, l’épreuve de Lasègue étant notamment négative des deux côtés, mais tout de même limitée à 70° par un raccourcissement des muscles ischio—jambiers et par des lombalgies. Au plan rachidien, le Dr J.________ a relevé la présence de troubles statiques du rachis dorsolombaire. La mobilité lombaire était diminuée, mais il était noté la présence de trois signes comportementaux sur cinq selon Waddell. La mobilité cervicale était également un peu limitée, surtout aux latéroflexions cervicales. La mobilité des articulations périphériques était par contre bien conservée. La mobilisation de la hanche droite aux rotations entraînait des gonalgies droites. Le recourant présentait aussi un syndrome rotulien droit et des troubles statiques des pieds avec un hallux valgus bilatéral débutant. La manœuvre de Gaenslen était positive au niveau des deux mains, mais sans signe objectif pour une synovite ou pour une arthropathie inflammatoire périphérique. Le médecin du SMR</w:t>
      </w:r>
    </w:p>
    <w:p>
      <w:r>
        <w:t>- 14 - observait un status après lésion traumatique avec défect cutané de la 3ème phalange du majeur droit et dystrophie unguéale. Il y avait également des douleurs à la palpation des deux sacro-iliaques, mais les manoeuvres de sacro-iliite étaient négatives. Le Dr J.________ a pris connaissance du dossier radiologique à disposition qui mettait en évidence des troubles statiques et dégénératifs du rachis avec canal cervical étroit, des séquelles dystrophiques lombaires et un status après fracture tassement de L1-L2 post-traumatique (p. 7 du rapport). Le médecin du SMR a constaté certaines incohérences entre les douleurs alléguées par le recourant et les activités quotidiennes qu’il disait accomplir. Ce dernier signalait par ailleurs qu’il ne pouvait pas rester en position assise plus de dix minutes, alors qu’il avait pu rester assis sans gêne particulière pendant l’entretien qui avait duré une heure (p. 8 et 9 du rapport). Sur la base de l’ensemble du dossier et de ses propres constatations, le médecin du SMR a retenu les diagnostics avec effet sur la capacité de travail de cervicobrachialgies et lombosciatalgies gauches dans le cadre de troubles statiques et dégénératifs du rachis avec canal cervical étroit, de status après fractures tassement de L1-L2 et de séquelles de maladie de Scheuermann, ainsi qu’un syndrome rotulien droit comme diagnostic associé. Sans effet sur la capacité de travail, il a mentionné des troubles statiques des pieds avec un hallux valgus bilatéral débutant asymptomatique, une amyotrophie de la cuisse droite, ainsi que des status après fracture du péroné gauche, après traumatisme cranio- cérébral, après fracture de la clavicule droite, après lésion traumatique de la 3ème phalange du majeur droit, et une obésité. Il a fixé les limitations fonctionnelles suivantes : la nécessité de pouvoir alterner deux fois par heure la position assise et debout, le soulèvement ou le port régulier de charges d’un poids excédant 5 kg, le travail en porte-à-faux statique prolongé du tronc, l’exposition aux vibrations, les mouvements répétés de flexion-extension de la nuque, la rotation rapide de la tête, la position prolongée en flexion ou extension de la nuque, les génuflexions répétées, le franchissement régulier d’escabeau, échelle ou escaliers, la position debout ou de marche de plus de 15 minutes, le travail en hauteur et la marche en terrain irrégulier. Il a conclu que la capacité de travail était</w:t>
      </w:r>
    </w:p>
    <w:p>
      <w:r>
        <w:t>- 15 - nulle dans l’activité de manœuvre dans le bâtiment. Dans une activité adaptée, la capacité de travail était de 80 %, par baisse de rendement liée aux limitations fonctionnelles, depuis le 21 mai 2019, soit trois mois après l’implantation de la batterie de stimulateur médullaire dorsal qui avait permis une certaine amélioration des douleurs. Il convient de relever que le Dr J.________ a procédé à une anamnèse complète, reprenant les rapports médicaux versés au dossier, il a décrit le déroulement représentatif d’une journée type du recourant, a pris en compte les plaintes de l’intéressé, examiné ses ressources et ses limitations fonctionnelles, effectué un examen clinique, émis des constatations circonstanciées et a motivé ses conclusions. Son rapport peut ainsi se voir reconnaître une pleine valeur probante, étant précisé que son appréciation n’est pas sérieusement mise en doute par les opinions émises par les autres médecins consultés. c) En particulier, l’expertise neurochirurgicale réalisée le 16 mai 2018 par la Dre H.________ à la demande de l’assurance-perte de gain ne permet pas de retenir une capacité de travail inférieure à celle retenue par le Dr J.________, l’experte ayant conclu à une pleine capacité de travail dans une activité adaptée et ayant retenu des limitations fonctionnelles moins conséquentes que celles admises par le médecin du SMR. Il en va de même de l’avis émis par le Dr D.________. Dans son rapport du 15 février 2019, il a mentionné des limitations fonctionnelles et une incapacité de travail complète dans toute activité sans motiver son appréciation, de sorte que son avis ne peut pas être considéré comme probant, d’autant plus que la dernière consultation remontait au 15 octobre 2018 et que le recourant n’avait pas encore bénéficié de la pose du stimulateur médullaire dorsal lequel a permis d’améliorer les douleurs. Il en va de même de son rapport médical du 14 mai 2019, qui n’est pas davantage étayé. A noter que les limitations ostéoarticulaires évoquées par le Dr D.________, qui au demeurant sont moindres que celles admises par le Dr J.________, sont compatibles avec l’exercice d’une activité adaptée à celles-ci. Le Dr D.________ fait aussi état d’une concentration et</w:t>
      </w:r>
    </w:p>
    <w:p>
      <w:r>
        <w:t>- 16 - d’une mémorisation diminuées, sans apporter la moindre précision à ce sujet. Quant à la fatigabilité augmentée qu’il évoque dans ses rapports, sans plus ample commentaire, il peut être noté que le Dr J.________ a tenu compte de la fatigue évoquée par le recourant. Il peut être ajouté qu’en octobre 2017, avant la pose du stimulateur, le Dr D.________ semblait penser qu’une reconversion professionnelle était possible, puisqu’elle s’imposait selon lui, ce qui rend moins compréhensible l’avis émis en 2019 selon lequel une activité adaptée ne serait pas possible alors que les douleurs du recourant étaient pourtant moindres qu’en 2017. Les rapports du Dr G.________ ne sont pas non plus de nature à mettre en doute les conclusions du médecin du SMR. En novembre 2018, une reconversion professionnelle lui semblait possible quand la problématique lombaire serait stabilisée par une intervention chirurgicale, évoquant à ce propos la pose d’un stimulateur. Dans un questionnaire du 15 juillet 2019, il a indiqué que cette intervention avait permis une amélioration des douleurs, mais que la pose de l’appareil n’était pas suffisante selon le recourant qui n’avait peut-être pas bien compris comment l’utiliser (réponses aux questions 3.2.1 et 6.1, p. 3 et 12 du questionnaire). Dans ce document, il s’est ensuite déterminé sur une longue liste de limitations fonctionnelles, sans vraiment étayer ses réponses. Sous les rubriques « déficience de la mémoire » et « troubles de la concentration » notamment, il a répondu par l’affirmative avec la mention « troubles mal définis » sans autre commentaire (p. 10 du questionnaire). Il y a lieu de constater que ces troubles ne sont ainsi pas motivés ni objectivés et que le Dr G.________ semble simplement rapporter les plaintes de son patient. Les troubles de la vision évoqués par le médecin traitant n’ont pas empêché le recourant de travailler jusque-là et le Dr G.________ ne prétend du reste pas que ces troubles seraient un obstacle à une reprise du travail. Dans ce questionnaire, il a mentionné que des travaux légers et/ou non-physiques étaient possibles, sans être en mesure de fournir des exemples de travaux ni le nombre d’heures exigibles (réponse à la question 7.1, p. 13). Dans ce même document, il a pourtant indiqué un peu plus loin qu’aucun emploi n’était possible (réponse à la question 7.3, p. 15). Vu les contradictions qu’il contient et</w:t>
      </w:r>
    </w:p>
    <w:p>
      <w:r>
        <w:t>- 17 - l’absence de motivation, ce document ne permet pas de s’écarter des conclusions étayées et convaincantes du Dr J.________ lesquelles reposent sur des éléments objectifs. Il en va de même du dernier rapport du 13 mai 2020 du médecin traitant qui conclut toujours à une capacité de travail nulle, sans motiver sa réponse et en renvoyant à son précédent rapport de du 15 juillet 2019. d) Précisons encore que le compte-rendu de la permanence du SMR établi le 5 juin 2019 ne contredit pas les conclusions du Dr J.________, contrairement à ce que soutient le recourant. Par ailleurs, le grief selon lequel le médecin du SMR ne se serait pas déterminé sur une éventuelle évolution future de la capacité de travail du recourant n’est pas pertinent, l’intimé devant statuer sur la base de l’état de fait prévalant jusqu’à la date de la décision sans tenir compte d’une hypothétique évolution future de la capacité de travail. e) En définitive, c’est à juste titre que l’intimé a reconnu une capacité de travail de 80 % depuis mi-mai 2019 sur la base du rapport du Dr J.________. 7. Le recourant soutient que ses limitations fonctionnelles sont incompatibles avec un emploi et qu’aucun employeur n’accepterait de l’engager avec de telles restrictions. 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w:t>
      </w:r>
    </w:p>
    <w:p>
      <w:r>
        <w:t>- 18 - b)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"de niche" (TF 8C_772/2020 du 9 juillet 2021 consid. 3.3 et les références citées). c)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2018, n° 24 ad art. 7). d) En l’occurrence, les limitations fonctionnelles retenues permettent l’accomplissement de toutes sortes de travaux légers. Dans la décision contestée, l’intimé a mentionné les possibilités existant dans le domaine industriel léger, tels que montage ou surveillance d’un processus de production, ouvrier à l’établi dans des activités simples et légères, ouvrier dans le conditionnement, les tâches simples de surveillance, vérification ou contrôle ou encore les autres tâches consistant à approvisionner et à surveiller des machines ou des unités de production automatique ou semi-automatiques. Ces activités sont compatibles avec les limitations fonctionnelles du recourant, étant rappelé que la jurisprudence a admis que les possibilités de travail sur un marché du travail équilibré étaient suffisamment concrétisées lorsque de tels travaux</w:t>
      </w:r>
    </w:p>
    <w:p>
      <w:r>
        <w:t>- 19 - entraient en considération comme exemples d’activités exigibles (cf. notamment TF 8C_772/2020 du 9 juillet 2021 consid. 3.3 et les nombreuses citées). Il y a donc lieu d’admettre l’exigibilité à 80 % d’une activité adaptée aux limitations fonctionnelles du recourant. 8. Il convient à présent d’examiner le degré d’invalidité.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w:t>
      </w:r>
    </w:p>
    <w:p>
      <w:r>
        <w:t>- 20 - payés équivalent normalement à une prestation de travail correspondante (ATF 141 V 351 consid. 4.2).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cc)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t>- 21 - d) En l’espèce, le revenu sans invalidité n’est pas contesté, seul le revenu avec invalidité étant litigieux. Le recourant fait valoir un revenu d’invalide correspondant à 60 % de son revenu sans invalidité, ce qui ne peut pas être le cas puisqu’une capacité de travail lui est reconnue dans une activité adaptée et non pas une diminution de sa capacité de travail dans son activité habituelle, laquelle n’est pas exigible. C’est donc à juste titre que l’intimé a fixé le revenu d’invalide sur la base des données statiques provenant de l’ESS. Le recourant requiert la prise en compte d’un abattement de</w:t>
      </w:r>
    </w:p>
    <w:p>
      <w:r>
        <w:rPr>
          <w:b/>
        </w:rPr>
        <w:t>E. 25</w:t>
      </w:r>
    </w:p>
    <w:p>
      <w:r>
        <w:t>% au vu de sa situation particulière, sans motiver plus avant cette demande. L’abattement de 10 % opéré par l’intimé en raison des limitations fonctionnelles est tout à fait suffisant dès lors qu’il a déjà été tenu compte de l’impact des limitations fonctionnelles dans l’appréciation de la capacité de travail dans une activité adaptée, en particulier sur le taux d’activité retenu. D’ailleurs le recourant n’indique pas en quoi ce taux serait insuffisant. Pour le surplus, il ne ressort pas d’autre élément susceptible d’influer négativement sur les perspectives salariales du recourant pour les activités adaptées existantes. C’est donc à juste titre que l’intimé a nié le droit à une rente au-delà du 31 août 2019, le degré d’invalidité du recourant n’atteignant pas le seuil de 40 %. 9. Il peut encore être relevé qu’au vu des circonstances du cas d’espèce, l’appréciation de l’intimé selon laquelle aucune mesure d’ordre professionnel ne serait susceptible de diminuer le dommage n’est pas critiquable, étant rappelé que le recourant s’était déclaré totalement incapable de travailler et que le Dr J.________ estimait aussi que de telles mesures risqueraient d’échouer. Le recourant ne sollicite du reste pas d’être mis au bénéfice de mesures d’ordre professionnel. 10. a) En conclusion, le recours, mal fondé, doit être rejeté, sans qu’il y ait lieu de compléter l’instruction, comme le requiert le recourant, par la mise en œuvre d’une expertise. En effet, le dossier est complet et</w:t>
      </w:r>
    </w:p>
    <w:p>
      <w:r>
        <w:t>- 22 - permet à la Cour de céans de statuer en pleine connaissance de cause (appréciation anticipée des preuves : ATF 145 I 167 consid. 4.1 ; 140 I 285 consid. 6.3.1 ; 130 II 425 consid. 2.1).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