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ZD21.023959 vom 19. Mai 2022</w:t>
      </w:r>
    </w:p>
    <w:p>
      <w:r>
        <w:t>VD Tribunal cantonal, 2022-05-19, FR</w:t>
      </w:r>
    </w:p>
    <w:p>
      <w:r>
        <w:rPr>
          <w:b/>
        </w:rPr>
        <w:t xml:space="preserve">Quelle: </w:t>
      </w:r>
      <w:r>
        <w:t>https://mcp.opencaselaw.ch/entscheid/vd_gerichte_ZD21.023959</w:t>
      </w:r>
    </w:p>
    <w:p>
      <w:r>
        <w:t>FR: VD_GERICHTE ZD21.023959 du 19 mai 2022</w:t>
      </w:r>
    </w:p>
    <w:p>
      <w:r>
        <w:t>IT: VD_GERICHTE ZD21.023959 del 19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des prestations d'assurance-invalidité. b) Des modifications législatives et réglementaires sont entrées en vigueur au 1er janvier 2022 dans le cadre du « développement continu de l'AI » (loi fédérale sur l’assurance-invalidité [LAI]</w:t>
      </w:r>
    </w:p>
    <w:p>
      <w:r>
        <w:t>- 18 -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- 19 -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- 20 -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C’est le lieu de rappeler que les avis médicaux du SMR, de par leur nature,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4</w:t>
      </w:r>
    </w:p>
    <w:p>
      <w:r>
        <w:t>janvier 2020 ; - 100 %, du 5 janvier 2020 au 19 avril 2020 ; - 0 %, du 20 avril 2020 (date de l’inscription au chômage) au 20 octobre 2020 ; - 100 %, du 21 octobre 2020 au 28 octobre 2020 ; - 0 %, du 29 octobre 2020 au 7 janvier 2021 ; - 100 %, du 8 janvier 2021 au 11 avril 2021 ; - « presque » 0 %, du 12 avril 2021 au 1er juin 2021 (examen par le Dr F.________ datant du 2 juin 2021). Sur cette base, étant rappelé qu’à teneur de l’art. 29ter RAI (règlement du 17 janvier 1961 sur l’assurance-invalidité ; RS 831.201), il y a interruption notable de l’incapacité de travail au sens de l’art. 28 al. 1 let. b LAI lorsque l’assuré a été entièrement apte au travail pendant 30 jours consécutifs au moins, la condition de l’art. 28 al. 1 let. b LAI pour avoir droit à la rente selon laquelle, l’assuré doit avoir présenté une incapacité de travail (art. 6 LPGA) d’au moins 40 % en moyenne durant une année sans interruption notable, n’est jamais réalisée jusqu’à la date de la décision attaquée. Aussi, à défaut de présenter une incapacité de travail (art. 6 LPGA) d’au moins 40 % en moyenne durant une année sans interruption notable, il n’y a pas lieu d’examiner si, au terme de cette année, la recourante est invalide (art. 8 LPGA) à 40 % au moins au sens de l’art. 28 al. 1 let. c LAI.</w:t>
      </w:r>
    </w:p>
    <w:p>
      <w:r>
        <w:t>- 27 -</w:t>
      </w:r>
    </w:p>
    <w:p>
      <w:r>
        <w:rPr>
          <w:b/>
        </w:rPr>
        <w:t>E. 5</w:t>
      </w:r>
    </w:p>
    <w:p>
      <w:r>
        <w:t>a) Enfin, reste à discuter la question du degré d’invalidité de la recourante, étant rappelé que, même si le droit à la rente n’est pas ouvert (cf. consid. 4d supra), dans ses écritures, la recourante s’étonne que l’office intimé ne lui propose aucune mesure de réadaptation professionnelle, en particulier un reclassement dans une nouvelle profession au sens de l’art. 17 LAI. La recourante fait grief à l’intimé de ne pas expliquer quel poste et dans quel domaine elle est en mesure d’exercer une activité lucrative à plein temps. Elle doute qu’il existe des activités compatibles avec son état de santé et sa situation personnelle. b)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bb) Sur le plan de l’exigibilité, les limitations fonctionnelles mises en évidence par le corps médical ne présentent pas de spécificités</w:t>
      </w:r>
    </w:p>
    <w:p>
      <w:r>
        <w:t>- 28 - telles qu’elles rendraient illusoires l’exercice d’une activité professionnelle. Le marché du travail offre en effet un large éventail d’activités sédentaires de type léger, dont on doit convenir qu’un certain nombre sont adaptées aux limitations de la recourante et accessibles sans aucune formation particulière. Malgré les handicaps, l’exercice d’une activité adaptée reste exigible à plein temps, ce qui ne prétérite en aucun cas les chances à l’emploi de la recourante envers de potentiels employeurs. Quant au grief de l'âge que soulève encore l’intéressée, il ne serait pas de nature à modifier cette appréciation. Si le Tribunal fédéral n'a pas fixé de manière définitive une limite d'âge, à partir duquel l'assuré ne serait plus apte à exercer une activité sur le marché de l'emploi, les 48 ans de la recourante au moment de la décision attaquée, dans la mesure où elle est de surcroît susceptible d'exercer une activité à temps plein, n'ont qu'une importance secondaire (TF 9C_ 800/2008 du 18 septembre 2009 consid. 5). Ainsi, au regard de sa situation personnelle et professionnelle et de la durée probable d'activité jusqu'à l'âge de la retraite, elle n'a largement pas atteint la limite d'âge critique à partir de laquelle il n'y a plus de mise en valeur possible de la capacité de travail résiduelle sur le plan économique (TFA I 819/04 du 27 mai 2005 consid. 2 et TF I 881/06 du 9 octobre 2007 consid. 4.4). cc) Compte tenu des éléments relevés, vu le large éventail d'activités simples et légères que recouvre le marché du travail, il y a lieu d’admettre qu'un nombre significatif d'entre elles, ne nécessitant aucune formation spécifique, sont adaptées aux problèmes physiques et aux compétences de la recourante (TF 9C_329/2015 du 20 novembre 2015 consid. 7.3). Il existe à l’évidence des possibilités réalistes pour cette dernière de mettre en valeur sa capacité de travail résiduelle sur un marché de l'emploi supposé équilibré. c) aa) Chez les assurés actifs, le degré d’invalidité doit être déterminé sur la base d’une comparaison des revenus. Pour cela, le revenu que l’assuré aurait pu obtenir s’il n’était pas invalide est comparé avec celui qu’il pourrait obtenir en exerçant l’activité qui peut</w:t>
      </w:r>
    </w:p>
    <w:p>
      <w:r>
        <w:t>- 29 -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Comme hypothèse de travail, il y a lieu de fixer le moment de la naissance du droit à une éventuelle rente de l’assurance-invalidité à l’échéance d’un délai de six mois à compter du dépôt de la demande de prestations le 10 décembre 2017 (art. 29 al. 1 LAI). Il convient donc de déterminer les revenus avec et sans invalidité à l'aune des circonstances prévalant en 2018. cc) 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 En l’occurrence, le revenu sans invalidité de la recourante depuis le 1er janvier 2016 était de 4'816 fr. 10, correspondant à un revenu annuel de 62'609 fr. (4'816 fr. 10 x 13) (« questionnaire pour l’employeur » complété le 20 mars 2018 par A.________ SA). Adapté à l’évolution des salaires pour 2017 et 2018 (+ 0,4 % et + 0,5 % [Office fédéral de la statistique, Evolution des salaires nominaux, des prix à la consommation</w:t>
      </w:r>
    </w:p>
    <w:p>
      <w:r>
        <w:t>- 30 - et des salaires réels, 2010-2020, T39]), le revenu sans invalidité se serait élevé à 63'173 fr. 73. dd) a)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Dans le cas présent, le salaire de référence pour des femmes exerçant les tâches physiques ou manuelles simples (niveau de compétences 1) dans le secteur privé (production et services) était en 2018 de 4’371 fr. par mois, part au treizième salaire comprise (ESS 2018, tableau TA1_tirage_skill_level, niveau de compétences 1). Compte tenu de</w:t>
      </w:r>
    </w:p>
    <w:p>
      <w:r>
        <w:t>- 31 - la durée de travail hebdomadaire de travail dans les entreprises en 2018 (41,7 heures ; cf. tableau « Durée normale de travail dans les entreprises selon la division économique » établi par l’Office fédéral de la statistique), ce montant doit être porté à 4’556 fr. 77, correspondant à un salaire annuel de 54'681 fr. 24. ee)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b) En l’espèce, les affections physiques de la recourante et le fait qu'elle doit se limiter à des travaux industriels légers non qualifiés ont été pris en compte lors de l'évaluation de sa capacité résiduelle de travail dans une activité professionnelle adaptée à sa santé. Dans ces circonstances, il n'y a pas lieu de retenir à ce titre un abattement du revenu d'invalide résultant des données de l'Enquête suisse de la structure des salaires (ESS), ce qui reviendrait à prendre en considération le même facteur deux fois (voir TF 8C_878/2014 du 27 janvier 2015 consid. 5.2.5 et 8C_498/2012 du 6 septembre 2012 consid. 3.1). On relèvera encore que l'âge de l’assurée (46 ans en 2018) ne constitue pas en lui-même un facteur de réduction du salaire statistique. Au vu de ces éléments, il n’y a pas lieu de retenir un abattement. Il s’ensuit que le revenu d’invalide doit être fixé à 54'681 fr. 24. ff) a) En comparant un revenu sans invalidité de 63'173 fr. 73 avec un revenu d’invalide de 54'681 fr. 24, il en résulte un degré d’invalidité de 13,44 %, arrondi à 13 % (cf. ATF 130 V 121).</w:t>
      </w:r>
    </w:p>
    <w:p>
      <w:r>
        <w:t>- 32 - b) Même à considérer, sur la base du rapport du Dr F.________ du 4 juin 2021, une capacité de travail de presque 100 % dans une activité adaptée aux limitations fonctionnelles, à interpréter comme une capacité de travail de 90 %, le degré d’invalidité serait de 22,10 %. Le droit à une rente ne serait également pas ouvert. d)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Commentaire de la Loi fédérale sur l’assurance-invalidité [LAI], Genève/Zurich/Bâle 2018, n° 18 ad art. 17 LAI). bb) En l’occurrence, dans l’hypothèse d’une capacité de travail de 90 % (cf. consid. 5 ff/b ci-dessus), la recourante ne serait éligible pour une mesure de reclassement professionnel. Toutefois, aucun élément au dossier ne permet de retenir que la recourante est actuellement apte à une telle mesure, subjectivement, dès lors qu’elle s’estime incapable d’exercer une activité lucrative, même adaptée à son état de santé. Dans ces conditions, même une aide au placement n’est pas envisageable.</w:t>
      </w:r>
    </w:p>
    <w:p>
      <w:r>
        <w:rPr>
          <w:b/>
        </w:rPr>
        <w:t>E. 6</w:t>
      </w:r>
    </w:p>
    <w:p>
      <w:r>
        <w:t>a) Mal fondé, le recours doit en conséquence être rejeté, ce qui entraîne la confirmation de la décision attaquée.</w:t>
      </w:r>
    </w:p>
    <w:p>
      <w:r>
        <w:t>- 33 -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par ailleurs pas lieu d’allouer de dépens, la recourante n’obtenant pas gain de cause (art. 61 let. g LPGA). d) La recourante est au bénéfice de l’assistance judiciaire. Les frais judiciaires mis à sa charge ci-avant sont donc provisoirement supportés par l’Etat et Me Luisa Bottarelli peut prétendre une équitable indemnité pour son mandat d’office. Après examen de la liste des opérations déposée le 15 février 2022, compte tenu de l’importance et de la complexité du litige, il convient d’arrêter l’indemnité à 4’152 fr. 50, débours et TVA compris (art. 2, 3 al. 1 et 3bis RAJ [règlement cantonal du</w:t>
      </w:r>
    </w:p>
    <w:p>
      <w:r>
        <w:rPr>
          <w:b/>
        </w:rPr>
        <w:t>E. 7</w:t>
      </w:r>
    </w:p>
    <w:p>
      <w:r>
        <w:t>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