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ZD21.022486 vom 24. Februar 2022</w:t>
      </w:r>
    </w:p>
    <w:p>
      <w:r>
        <w:t>VD Tribunal cantonal, 2022-02-24, FR</w:t>
      </w:r>
    </w:p>
    <w:p>
      <w:r>
        <w:rPr>
          <w:b/>
        </w:rPr>
        <w:t xml:space="preserve">Quelle: </w:t>
      </w:r>
      <w:r>
        <w:t>https://mcp.opencaselaw.ch/entscheid/vd_gerichte_ZD21.022486</w:t>
      </w:r>
    </w:p>
    <w:p>
      <w:r>
        <w:t>FR: VD_GERICHTE ZD21.022486 du 24 février 2022</w:t>
      </w:r>
    </w:p>
    <w:p>
      <w:r>
        <w:t>IT: VD_GERICHTE ZD21.022486 del 24 febbraio 2022</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w:t>
      </w:r>
    </w:p>
    <w:p>
      <w:r>
        <w:rPr>
          <w:b/>
        </w:rPr>
        <w:t>E. 2</w:t>
      </w:r>
    </w:p>
    <w:p>
      <w:r>
        <w:t>Le présent litige porte sur le droit du recourant à une rente de l’assurance-invalidité.</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w:t>
      </w:r>
    </w:p>
    <w:p>
      <w:r>
        <w:t>- 5 -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Selon la jurisprudence, le bien-fondé d'une décision d'octroi, à titre rétroactif, d'une rente limitée dans le temps, doit être examiné à la lumière des conditions de révision du droit à la rente.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les références citées ; TF 9C_718/2009 du 4 février 2010 consid. 1.2 et les références citées). Lors de l’octroi d’une rente échelonnée ou limitée dans le temps, le moment déterminant pour effectuer la comparaison est, d’une</w:t>
      </w:r>
    </w:p>
    <w:p>
      <w:r>
        <w:t>- 6 - part, le moment du début du droit à la rente et, d’autre part, celui de la diminution ou de la suppression de la rente en application du délai de trois mois prévu à l’art. 88a du règlement du 17 janvier 1961 sur l’assurance- invalidité (RAI ; RS 831.201) (TF 9C_134/2015 du 3 septembre 2015 consid. 4.1 et les références citées ; Michel Valterio, Droit de l’assurance- vieillesse et survivants (AVS) et de l’assurance-invalidité (AI), Genève/Zurich/Bâle 2011, pp. 833s n° 3068 et les références citées).</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w:t>
      </w:r>
    </w:p>
    <w:p>
      <w:r>
        <w:t>- 7 -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d)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8C_518/2007 du 7 décembre 2007 consid. 3.2 ; TFA I 131/03 du 22 mars 2004 consid. 2.3 ; TFA I 209/03 du 17 juin 2003 consid. 3.2.1).</w:t>
      </w:r>
    </w:p>
    <w:p>
      <w:r>
        <w:rPr>
          <w:b/>
        </w:rPr>
        <w:t>E. 5</w:t>
      </w:r>
    </w:p>
    <w:p>
      <w:r>
        <w:t>a) En l’espèce, il est constant que le recourant souffre de nombreuses atteintes à la santé, soit plusieurs problèmes ostéoarticulaires, touchant principalement la région dorsolombaire, la hanche gauche, l’épaule droite et la main droite, ainsi que des atteintes psychiques. Se prévalant de ses atteintes rhumatologique et psychique, le recourant conteste disposer d’une capacité de travail telle que retenue par les décisions du 21 avril 2021.</w:t>
      </w:r>
    </w:p>
    <w:p>
      <w:r>
        <w:t>- 8 - b) aa) Se fondant sur l’expertise pluridisciplinaire du 30 mars 2020 du P.________, l’office intimé a estimé que le recourant avait présenté une incapacité de travail totale entre le 1er septembre 2006 et le 31 mai 2010 et qu’il avait recouvré une capacité de travail de 70 % dès le 1er juin 2010. bb) Préliminairement, il convient de relever que le P.________ a été chargé du mandat d’expertise par l’intermédiaire de la plateforme électronique SuisseMED@P qui permet d’attribuer de manière aléatoire les mandats d’expertises pluridisciplinaires comprenant au moins trois disciplines différentes à des centres d'expertises liés à l'Office fédéral des assurances sociales (OFAS) par une convention (72bis al. 2 RAI ; ATF 139 V 349 consid. 5.2.2 ; 137 V 210). Le grief du recourant tiré du fait que ce centre d’expertises médicales serait déjà intervenu tombe ainsi à faux. cc) Sur le plan formel, il y a lieu de constater que le rapport d’expertise du 30 mars 2020 remplit toutes les exigences auxquelles la jurisprudence soumet la valeur probante d’un tel document. En effet, ce rapport porte sur l’ensemble des atteintes à la santé du recourant : chaque expert a rédigé un rapport détaillé dans son domaine de spécialisation avant de participer à une évaluation consensuelle. Les experts ont procédé à l’anamnèse, résumé tous les éléments médicaux à leur disposition et listé les plaintes du recourant. Ils ont soigneusement expliqué les diagnostics retenus. Ils ont également examiné les traitements mis en place ainsi que leur incidence sur la capacité de travail et ont encore étudié les ressources du recourant. En outre, contrairement à ce qu’affirme celui-ci, les experts se sont déterminés sur les différences d’appréciation qui avaient convaincu la Cour des assurances sociales de renvoyer la cause à l’office intimé pour complément d’instruction. Constatant que les dates des incapacités retenues par les expertises du 27 octobre 2014 des N.________ et du 22 décembre 2016 du P.________ ne correspondaient pas, ils ont relevé qu’il n’y avait pas de réelle divergence : l’expertise des N.________ évaluait les limitations d’ordre</w:t>
      </w:r>
    </w:p>
    <w:p>
      <w:r>
        <w:t>- 9 - psychiatrique alors que celle du P.________ n’avait pas tenu compte de l’opération de la hanche gauche du 8 décembre 2009. c) Sur le plan somatique, les experts ont posé les diagnostics d’allodynie de la pulpe du pouce droit, de majeurs à ressaut, de dorso- lombalgies sur troubles dégénératifs et post-traumatiques discrets à modérés, de coxarthrose débutante sur conflit fémoro-acétabulaire, d’épaule douloureuse droite simple, de cervicalgie chronique et de syndrome des jambes sans repos. Ils ont retenu que le recourant disposait , depuis le 1er juin 2010, d’une pleine capacité de travail dans une activité adaptée à ses limitations fonctionnelles (activité légère en position assise permettant tout de même des changements de position toutes les 45 minutes ; pas de position statique debout ou en piétinement au-delà de 10 minutes ; pas de position en porte-à-faux ; pas de travail en hauteur ; pas de travail au-dessus du plan des épaules ; pas de ports ou transports répétitifs de charges supérieures à 3 kg ; pas de déambulations en terrain inégal ; pas d’activités nécessitant une force de préhension importante avec la main droite), sous réserve d’une diminution de rendement de 20 %. Les différents rapports médicaux produits par le recourant sont insuffisants à remettre en question ces conclusions. Ainsi, dans leurs rapports des 1er mai 2020 et 20 mai 2021, les Dr [...], spécialiste en anesthésiologie, et [...], spécialiste en chirurgie orthopédique et traumatologie de l’appareil locomoteur, ne se prononcent pas sur la capacité de travail du recourant. Ils n’apportent au demeurant aucun élément qui aurait été ignoré par les experts du P.________. De même, la péjoration des douleurs articulaires relevée le 27 mai 2021 par le Dr V.________, spécialiste en médecine interne générale, a été constatée par l’expert rhumatologue qui a relevé une dissociation entre l’importance des plaintes et ses observations objectives. Le Dr D.________ a ainsi noté que si l’imagerie confirmait la présence de lésion anatomique, elle en démontrait le peu d’importance et ne permettait pas d’en justifier la persistance et l’intensité alléguées. L’expert relevait encore que des douleurs telles que décrites auraient dû faire l’objet d’un traitement</w:t>
      </w:r>
    </w:p>
    <w:p>
      <w:r>
        <w:t>- 10 - antalgique conséquent et que les doses proposées n’étaient pas suffisantes à cet égard. En définitive, les experts ont clairement expliqué pour quelles raisons ils arrivaient à la conclusion que le recourant disposait, sur le plan somatique, d’une capacité de travail de 100 % dans une activité adaptée depuis le 1er juin 2010, avec une baisse de rendement de 20 %. c) Sur le plan psychiatrique, les experts du P.________ ont retenu que le recourant présentait un trouble dépressif récurrent actuellement en rémission. Ils ont également posé le diagnostic de syndrome douloureux somatoforme persistant au vu de la dissociation entre l’importance des plaintes et les constatations objectives relevées par l’expert rhumatologue ainsi que du fait qu’une partie des plaintes subjectives de l’intéressé ne se retrouvait pas au status. L’expert psychiatre a tenu compte, dans son évaluation, des problématiques relevées par les médecins-traitants du recourant. A l’instar du Dr Y.________, médecin assistant au [...], le Dr X.________ a constaté les problèmes de sommeil, la fatigue et l’irritabilité dont souffre le recourant. Cependant, contrairement au médecin-traitant, l’expert a posé le diagnostic de trouble dépressif récurrent actuellement en rémission. Il a retenu deux épisodes dépressifs bien distincts : le premier en 2000 dans le cadre d’un conflit avec un supérieur hiérarchique et le second en 2004 à la suite de l’incendie de son appartement. En dehors de ces deux périodes, l’expert a estimé que le trouble dépressif n’avait jamais eu de gravité marquée objective. A cet égard, il a constaté l’absence d’admission en centre de crise ou en hôpital, le traitement antidépresseur sporadique et l’euthymie de l’expertisé depuis le 11 août 2015. Reprenant les conclusions de l’examen neuropsychologique, l’expert psychiatre a relevé « l’efficience intellectuelle non verbale pauvre, inférieure au normes, mais pas déficitaire du recourant, un ralentissement très marqué dans les tâches graphiques avec lesquelles l’expertisé était probablement peu familiarisé, des troubles exécutifs en flexibilité et un fléchissement dans les autres fonctions exécutives, une mémoire de travail et une mémoire</w:t>
      </w:r>
    </w:p>
    <w:p>
      <w:r>
        <w:t>- 11 - épisodique en phase d’apprentissage déficitaires, mais un rappel différé en mémoire verbale certes pauvre, mais non déficitaire, le tout observé dans un contexte de signes de surcharge, voire de défaut d’effort » et, pour ces motifs, retenu une diminution de rendement de 30 % dans toute activité. Les prises de position du Dr Y.________ des 21 octobre 2020 et du mois de mai 2021 dont se prévaut le recourant ne se déterminent pas sur le contenu du volet psychiatrique de l’expertise du P.________ et demeurent pour le reste trop succinctes sur le plan clinique pour justifier la mise en œuvre de mesures complémentaires d’instruction. On ne comprend ainsi pas pour quelles raisons médicales objectives le Dr Y.________ pose les diagnostics de dépression sévère avec baisse de l’estime de soi, de dévalorisation et d’anhédonie. Au demeurant, l’intensité du suivi psychiatrique (une consultation tous les deux mois environ) ne plaide à tout le moins pas dans le sens d’une grave symptomatologie dépressive nécessitant un suivi intensif. d) Faisant la synthèse des différentes problématiques constatées dans le cadre de leurs examens, les experts ont procédé à une évaluation globale portant sur l’ensemble des atteintes du recourant (cf. consid. 4d supra). Ils ont ainsi conclu que l’intéressé avait présenté une incapacité totale de travail pour des raisons somatiques entre le 1er septembre 2006 et le 1er juin 2010 et que, depuis cette date, il présentait une capacité de travail de 70 % dans une activité adaptée à ses limitations fonctionnelles (activité légère en position assise permettant tout de même des changements de position toutes les 45 minutes ; pas de position statique debout ou en piétinement au-delà de 10 minutes ; pas de position en porte-à-faux ; pas de travail en hauteur ; pas de travail au- dessus du plan des épaules ; pas de ports ou transports répétitifs de charges supérieures à 3 kg ; pas de déambulations en terrain inégal ; pas d’activités nécessitant une force de préhension importante avec la main droite) et neuropsychologiques (activité manuelle simple, peu exigeante en termes de compréhension des tâches et de raisonnement, ne</w:t>
      </w:r>
    </w:p>
    <w:p>
      <w:r>
        <w:t>- 12 - nécessitant pas de passer rapidement d’une tâche à une autre ni de s’adapter à des changements fréquents de contexte). e) Les Drs V.________ et Y.________ se sont opposés aux conclusions de l’expertise du P.________ au motif également que les possibilités d’activités adaptées aux limitations du recourant seraient illusoires (rapports des 27 mai 2021 et du mois de mai 2021). Le service de réadaptation de l’Office a cependant mis en évidence un large éventail d’activités légères adaptées aux limitations de l’intéressé et accessibles sans aucune formation particulière (agent de contrôle qualité dans une chaîne de production ; ouvrier de conditionnement de matériel léger [mise sous plis, empaquetage] ; ouvrier de production dans l’industrie de précision [alimentation de machines préréglées, assemblage de composants électroniques/informatiques], magasinier léger [aide magasinier sur site, sans usage informatique], serviceman en station- service [caisse, entretien, service]), dont il n’y a pas lieu de remettre en cause, faute de griefs, le caractère adéquat. f) Les termes de la comparaison des revenus effectuée par l’office intimé, pour la période dès le 1er septembre 2010, ne sont pas contestés. L’office a correctement retenu un revenu sans invalidité de 64'490 fr. ainsi qu’un revenu avec invalidité de 37'891 fr. 02 en se fondant sur les données salariales de l’enquête suisse sur la structure des salaires (ESS) publiée par l’Office fédéral de la statistique (ATF 126 V 75), ce qui correspond effectivement à un degré d’invalidité de 41 %, taux ouvrant le droit à un quart de rente.</w:t>
      </w:r>
    </w:p>
    <w:p>
      <w:r>
        <w:rPr>
          <w:b/>
        </w:rPr>
        <w:t>E. 6</w:t>
      </w:r>
    </w:p>
    <w:p>
      <w:r>
        <w:t>a) Sur le vu de ce qui précède, le recours doit être rejeté et la décision attaquée confirmée. b) Aux termes de son recours du 26 mai 2021, le recourant a déclaré qu’il requerrait d’être mis au bénéfice de l’assistance judiciaire. Par acte du 4 juin 2021, il a déposé une demande en ce sens qu’il a complétée en déposant de nouvelles pièces les 21 juin et 1er juillet 2021.</w:t>
      </w:r>
    </w:p>
    <w:p>
      <w:r>
        <w:t>- 13 - Par décision du 5 juillet 2021, le juge instructeur a rejeté la demande d’assistance judiciaire déposée par le recourant au motif que, selon une décision de taxation du 8 juin 2021, l’intéressé s’était vu allouer une prestation en capital d’un montant de 193'600 fr. et qu’il se trouvait dès lors en mesure d’assumer les frais du procès. Il ressort cependant des pièces au dossier produit par l’OAI que le recourant n’a pas touché la prestation en capital à l’origine du refus d’assistance judiciaire. Le recourant ne dispose ainsi pas de ressources qui lui permettent de subvenir aux frais de procédure sans le priver du nécessaire (art. 18 al. 1 LPA-VD). Dans la mesure où, par ailleurs, les conclusions du recours n’étaient pas manifestement mal fondées, il y a lieu d’annuler la décision du 5 juillet 2021 et d’octroyer au recourant l’assistance judicaire avec effet au 26 mai 2021, sous forme d’exonération des frais judiciaires et de l’assistance d’office d’un avocat en la personne de Me Paul-Arthur Treyvaud. c) En dérogation à l’art. 61 let. a LPGA, la procédure de recours en matière de contestations portant sur l’octroi ou le refus de prestations de l’assurance-invalidité devant le tribunal cantonal des assurances est soumise à des frais judiciaires (art. 69 al. 1bisLAI). En l’espèce, il convient de les arrêter à 600 fr. et de les mettre à la charge du recourant, qui succombe (art. 49 al. 1 LPA-VD, applicable par renvoi des art. 91 et 99 LPA-VD). Toutefois, dès lors que celui-ci a été mis au bénéfice de l’assistance judiciaire, ces frais sont laissés provisoirement à la charge de l’Etat (art. 122 al. 1 let. b et 123 du code de procédure civile du 19 décembre 2008 [CPC ; RS 272], par renvoi de l’art. 18 al. 5 LPA-VD). d) Il n’y a pas lieu d’allouer de dépens, le recourant n’obtenant pas gain de cause (art. 61 let. g LPGA). e) S’agissant du montant de l’indemnité due au conseil d’office, elle doit être fixée eu égard aux opérations nécessaires pour la conduite du procès et en considération de l’importance de la cause, de ces difficultés, de l’ampleur et du temps consacré par le conseil juridique</w:t>
      </w:r>
    </w:p>
    <w:p>
      <w:r>
        <w:t>- 14 - commis d’office (cf. art. 2 al. 1 du règlement vaudois sur l’assistance judiciaire en matière civile du 7 décembre 2010 [RAJ ; BLV 211.02.3]). En l’absence de liste des opérations produite par Me Treyvaud, la Cour de céans statue en équité et fixe l’indemnité d’office à 1'800 fr., débours et TVA compris. f) Le recourant est encore rendu attentif au fait qu’il est tenu de rembourser le montant des frais judiciaires et de l’indemnité du conseil d’office dès qu’il sera en mesure de le faire (art. 123 al. 1 CPC par renvoi de l’art. 18 al. 5 LPA-VD). Il incombera au Service juridique et législatif de fixer les modalités du remboursement (art. 5 RAJ).</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