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ZD21.020804 vom 9. Februar 2023</w:t>
      </w:r>
    </w:p>
    <w:p>
      <w:r>
        <w:t>VD Tribunal cantonal, 2023-02-09, FR</w:t>
      </w:r>
    </w:p>
    <w:p>
      <w:r>
        <w:rPr>
          <w:b/>
        </w:rPr>
        <w:t xml:space="preserve">Quelle: </w:t>
      </w:r>
      <w:r>
        <w:t>https://mcp.opencaselaw.ch/entscheid/vd_gerichte_ZD21.020804</w:t>
      </w:r>
    </w:p>
    <w:p>
      <w:r>
        <w:t>FR: VD_GERICHTE ZD21.020804 du 9 février 2023</w:t>
      </w:r>
    </w:p>
    <w:p>
      <w:r>
        <w:t>IT: VD_GERICHTE ZD21.020804 del 9 febbraio 2023</w:t>
      </w:r>
    </w:p>
    <w:p>
      <w:pPr>
        <w:pStyle w:val="Heading2"/>
      </w:pPr>
      <w:r>
        <w:t>Erwägungen</w:t>
      </w:r>
    </w:p>
    <w:p>
      <w:r>
        <w:rPr>
          <w:b/>
        </w:rPr>
        <w:t>E. 31</w:t>
      </w:r>
    </w:p>
    <w:p>
      <w:r>
        <w:t>décembre 2021), pour évaluer le revenu sans invalidité d'un indépendant, on examine le développement probable qu'aurait suivi l'entreprise de l'assuré si celui-ci n'était pas devenu invalide (RCC 1963 p. 427 ; ch. 3029).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Lorsque des indices concrets déterminants font défaut pour fixer les revenus à prendre en compte, il faut se rabattre sur des valeurs moyennes d’expérience, comme celles qui sont prises en compte dans l’enquête fédérale sur la structure des salaires (VSI 1999 p. 248 consid. 3b). Pour le reste, il faut tenir compte du principe selon lequel – en l’absence d’indices concrets imposant une évaluation différente – l’assuré aurait normalement et conformément à l’expérience générale de la vie poursuivi l’activité précédemment exercée sans invalidité (RAMA 2000 n° U 400 p. 381 consid. 2a). ccc) Lorsqu'avant la survenance de l’invalidité 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141 V 1 consid. 5.4 ; 134 V 322 consid. 4.1). Le revenu effectivement réalisé doit être considéré comme nettement inférieur aux salaires habituels de la branche lorsqu'il est inférieur d'au moins 5 % au salaire statistique usuel dans la branche pour l’ensemble de la Suisse (ATF 135 V 297 consid. 6.1.2). En pratique, le parallélisme des revenus à comparer peut être effectué soit au regard du revenu sans invalidité en augmentant de manière appropriée le revenu effectivement réalisé ou en se référant aux données statistiques, soit au regard du revenu d'invalide</w:t>
      </w:r>
    </w:p>
    <w:p>
      <w:r>
        <w:t>- 26 - en réduisant de manière appropriée la valeur statistique (ATF 134 V 322 consid. 4.1; TF 9C_692/2010 du 31 janvier 2011 consid. 3.4). bb) Si l’on examine les activités concrètes que la recourante est encore en mesure de déployer actuellement pour le compte de sa maison d’hôtes, force est de constater que la situation n’a pas connu d’évolution positive, puisqu’il est admis, sur le plan médical, que l’état de santé de l’assurée s’est aggravé en 2018, puis en 2019 avec la seconde opération, alors que les résultats du B&amp;B ont progressé entre 2017 et 2019. Il s’ensuit qu’il n’est pas déraisonnable de penser que cette augmentation résulte avant tout de facteurs étrangers à l’invalidité. Au final, il convient de constater que l’office intimé n’a nullement établi, au degré de la vraisemblance prépondérante en matière d’assurances sociales, le revenu sans invalidité que l’assurée serait en mesure de réaliser. Il a expliqué s’être fondé sur les revenus réalisés en 2017 et 2018 uniquement car ils étaient les plus favorables, faisant par là-même abstraction des revenus antérieurs du fait qu’ils n’étaient pas représentatifs du potentiel économique de l’activité exercée. Dans sa réponse du 21 juin 2021, l’OAI a d’ailleurs concédé qu’il pouvait être tenu compte d’un revenu sans invalidité significativement supérieur (53'890 fr.) fondé sur les statistiques tirées de l’Enquête suisse sur la structure des salaires (ci-après : l’ESS) pour calculer le taux d’invalidité, tel que l’a fait valoir la recourante. cc) Sur ce point, il convient donc de réformer la décision entreprise en se fondant sur les statistiques salariales, méthode que l’OAI a au demeurant admise dans sa réponse et présentée, de sorte que l’assurée a pu se déterminer à ce sujet conformément à son droit d’être entendue. Par conséquent, il y a lieu de retenir un revenu sans invalidité de 53'890 francs. b) Quant au revenu avec invalidité, la recourante fait valoir qu’un changement d’activité lucrative pour mettre à profit sa capacité de travail résiduelle dans une activité adaptée n’est pas exigible dans son cas. Elle expose avoir consacré les cinq dernières années à développer</w:t>
      </w:r>
    </w:p>
    <w:p>
      <w:r>
        <w:t>- 27 - son projet qui lui tient à cœur, en sorte qu’un changement d’activité professionnelle ne serait pas exigible de sa part. Elle soutient que son activité habituelle, dorénavant aux côtés de son époux, lui permet d’aménager son temps de travail et doit être considéré comme l’activité la plus adaptée à son état de santé pour mettre à profit une éventuelle capacité de travail résiduelle. Enfin, elle critique la prise en compte d’un revenu avec invalidité fondé sur l’Enquête suisse sur la structure des salaires, niveau de compétences 1. aa)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w:t>
      </w:r>
    </w:p>
    <w:p>
      <w:r>
        <w:t>- 28 -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 diversifiés, au regard des sollicitations tant intellectuelles que physiques), d’autre part (TF 8C_772/2020 du 9 juillet 2021 consid. 3.3). aaa) S’agissant de l’exercice de l’activité habituelle, il apparaît que la Dre V.________ a tout d’abord estimé qu’elle était exigible à 20 % tout au plus (cf. rapport du 30 juin 2020) avant de retenir une incapacité de travail de 80 à 100 % dans l’activité habituelle (cf. rapports des 21 avril et 17 mai 2021). De son côté, la Dre B.________ a relevé, dans son rapport du 3 septembre 2020, que l’activité actuelle était difficile – sans toutefois se prononcer sur la capacité de travail – en raison des exigences physiques qu’elle impliquait (station debout, changement de literie, service en cuisine, nettoyage). Pour sa part, après avoir considéré que l’activité habituelle n’était plus adaptée (cf. compte-rendu du SMR du 7 juillet 2020 et avis médical du 8 octobre 2020), l’OAI a, ensuite de l’examen rhumatologique du Dr R.________, estimé que la capacité de travail dans l’activité habituelle était de 50 %. Dans leur rapport du 31 août 2021, les Drs H.________ et B.________ ont toutefois rendu compte des inquiétudes exprimées par la recourante au sujet de ce taux, qui lui paraissait excessif, dès lors qu’il faisait fi de son épuisement et, partant, de la réduction importante des tâches accomplies. Du reste, elle a expliqué avoir dû engager deux employées (à temps partiel) pour divers travaux ménagers et faire appel aux services d’un paysagiste pour l’entretien extérieur (cf. courrier du 7 octobre 2019). Constatant que le recours à du personnel et l’achat de matériel destiné à alléger les conditions de travail (deux aspirateurs, un nettoyeur à vapeur et un second frigo) ne suffisaient pas à garantir la rentabilité de l’exploitation, l’époux de la recourante a décidé de cesser toute activité professionnelle en anticipant sa retraite au 1er février 2021 afin de pouvoir se consacrer entièrement à la gestion du B&amp;B, son épouse – dont l’état de santé s’était</w:t>
      </w:r>
    </w:p>
    <w:p>
      <w:r>
        <w:t>- 29 - encore dégradé dans l’intervalle – n’effectuant plus que sporadiquement quelques activités administratives. Dans ses dernières déterminations du 25 avril 2022, la recourante admet même avoir cessé toute activité pour l’exploitation de sa maison d’hôtes en raison de son état de santé. A cet égard, la Dre G.________ a expliqué que l’intéressée était incapable de travailler lors de l’apparition des crises de céphalées et que toute activité aggravait fortement la douleur. Aussi n’était-elle plus en mesure d’accomplir des tâches ménagères ou de faire la cuisine (cf. rapport du 3 février 2022). bbb) Si certaines tâches ponctuelles demeurent probablement possibles, singulièrement effectuer la comptabilité ou passer des commandes, la majorité des actes qu’implique l’exploitation d’une maison et table d’hôtes n’est cependant plus réalisable au vu des importantes limitations fonctionnelles de l’assurée, ce qui ne lui permet pas de valoriser sa capacité de travail à hauteur de 70 % comme il peut être attendu d’elle. Compte tenu d’une capacité de travail théorique à raison de 70 % dans une activité adaptée à l’état de santé qui est reconnu à la recourante, alors que son ancienne activité n’est plus exigible, voire à un très faible taux d’activité (50 % au maximum, mais plus vraisemblablement 20-30 %), un changement de profession est justifié en l’espèce, en sorte que l’intimé a retenu à juste titre que le revenu d’invalide devait se calculer en fonction d’une activité adaptée et non sur la poursuite de l’activité habituelle. Dès lors qu’il incombe à la recourante de mettre en valeur sa capacité de travail résiduelle, il faut donc examiner si elle est en mesure de le faire dans une activité adaptée compatible avec les limitations fonctionnelles retenues. ccc) En avril 2021, la recourante était âgée de 54 ans à peine, âge qui ne constitue pas en soi un obstacle à toute réinsertion. Contrairement à ce qu’elle allègue, il n’a pas été constaté de limitations fonctionnelles d’ordre psychique. Les limitations fonctionnelles retenues sont d’ordre exclusivement rhumatologique (mobilisation du rachis essentiellement), mais permettent l’accomplissement de toutes sortes de travaux légers, dès lors qu’elle peut alterner les positions assise et debout.</w:t>
      </w:r>
    </w:p>
    <w:p>
      <w:r>
        <w:t>- 30 - Dans sa fiche de calcul du revenu d’invalide du 14 décembre 2020, l’intimé a mentionné les possibilités d’activités adaptées existant dans le domaine industriel léger (montage, contrôle ou surveillance d’un processus de production, ouvrière à l’établi dans des activités simples et légères, ouvrière dans le conditionnement). Comme l’a rappelé le Tribunal fédéral en maintes occasions (cf. notamment TF 8C_772/2020 du 9 juillet 2021 consid. 3.3 et les nombreuses références citées),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Au surplus, de telles activités ne requièrent pas de formation particulière hormis une mise au courant initiale et sont donc facilement accessibles à la recourante, qui a non seulement une formation d’assistante médicale, mais a réussi à obtenir la patente de cafetier-restaurateur, démontrant ainsi une capacité d’apprentissage. Au demeurant, au vu d’une capacité de travail de 70 % dans une activité adaptée, il n’est pas irréaliste que l’assurée puisse effectivement trouver une activité légère sur le marché équilibré du travail. On précisera encore que, dans la mesure où la question de l’aménagement du temps de travail afin de pouvoir alterner les positions et, le cas échéant, faire face à une crise migraineuse, découle du handicap, elle constitue un élément pertinent dans la détermination de l’activité adaptée et, partant, est susceptible d’être prise en considération dans la détermination du revenu d’invalide par un éventuel abattement supplémentaire (cf. considérant 6b/bb infra) ; en revanche, contrairement à ce que soutient la recourante, elle ne donne pas droit à continuer l’activité habituelle. ddd) Ainsi, il apparaît que l’on peut exiger de la recourante qu’elle opte pour une activité adaptée à ses limitations fonctionnelles.</w:t>
      </w:r>
    </w:p>
    <w:p>
      <w:r>
        <w:t>- 31 - bb) Il convient d’examiner ensuite le revenu d’invalide que l’assurée peut réaliser dans une activité adaptée à ses limitations fonctionnelles et si les circonstances du cas d’espèce justifient un abattement supérieur à 5 %. aaa) La personne assurée peut, selon sa situation personnelle, voir ses perspectives salariales être réduites par des facteurs tels que l’âge,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On peut également renoncer à une déduction particulière en raison de ces facteurs et se limiter, dans le calcul du revenu avec invalidité, à une déduction pour tenir compte des circonstances liées au handicap de la personne assurée et qui restreignent ces perspectives salariales par rapport à celles ressortant des données statistiques (dans ce sens : ATF 135 V 297 ; 135 V 58 ; 134 V 322 consid. 4 et 5.2). En effet,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L’étendue de l’abattement (justifié dans un cas concret) constitue une question typique relevant du pouvoir d’appréciation, qui ne doit être revue que s’il a été exercé de manière contraire au droit, relevant de l’excès positif ou négatif de ce pouvoir d’appréciation ou d’un abus de celui-ci, notamment si des critères inappropriés ont été retenus, si des circonstances pertinentes n’ont pas été prises en compte, si un examen complet des circonstances n’a pas été fait ou s’il n’a pas été fait usage de critères objectifs (TF 9C_673/2010 du 31 mars 2011 consid. 4.1 et les références). La jurisprudence considère cependant que, dans l’ESS, le niveau de qualification correspondant aux activités simples et répétitives dans les secteurs de la production et des services recouvre un large</w:t>
      </w:r>
    </w:p>
    <w:p>
      <w:r>
        <w:t>- 32 - éventail d’activités variées,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significative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d’ouvre (TF 9C_329/2015 du 20 novembre 2015 consid. 7.2 ; TFA I 339/02 du 2 avril 2003 consid. 4.3.3). bbb) En l’occurrence, le revenu d’invalide calculé par l’intimé comporte une légère erreur. Dans une activité physique et manuelle simple (niveau de compétences 1), selon l’ESS 2018, le revenu annuel pour une femme est de 52'452 francs (4'371 fr. x 12). En tenant compte de l’horaire hebdomadaire de travail en 2020 (41,7 heures en moyenne), il s’élève à 54'681 fr. 20. Ce montant doit encore être indexé à l’année 2020 en fonction de l’évolution des salaires nominaux pour les femmes (ATF 129 V 408), soit 1 % de 2018 à 2019 et 0,9 % de 2019 à 2020. Il s’ensuit un revenu annuel sans invalidité de 55'725 fr. 10 à 100 %, soit 39'007 fr. 55 pour une capacité de travail de 70 %. ccc) S’agissant de l’abattement, il faut rappeler que l’éventail d’activités visé par le tableau TA1_skill_level de l’ESS représente des professions généralement compatibles avec des limitations fonctionnelles légères. Dans ce contexte, seules les limitations fonctionnelles dépassant ce qui est compatible avec ces activités peuvent justifier un abattement supplémentaire ; or dans la mesure où les limitations retenues constituent</w:t>
      </w:r>
    </w:p>
    <w:p>
      <w:r>
        <w:t>- 33 - les mesures classiques d'épargne du rachis (cf. rapport du 12 novembre 2020 du Dr R.________, cité supra dans la partie « En fait ») n’impliquant qu’un aménagement de l’exécution du travail, elles ne présentent pas de spécificités telles qu'elles justifient une déduction du salaire d'invalide. Le besoin de pauses et d’alterner les positions debout et assis a été pris en compte dans le cadre de l’évaluation de la capacité de travail, en sorte qu’il ne justifie pas un abattement supplémentaire. Quant à l’âge de la recourante, à savoir à peine 54 ans au moment de la décision querellée, il n’est pas impérativement susceptible de fonder un abattement supplémentaire, compte tenu de la durée prévisible des rapports de travail de plus d’une décennie avant l’âge légal de la retraite et du fait que l’intéressée a déjà deux formations professionnelles à valoriser. Pour le surplus, on ne voit pas d’autre élément susceptible d’influer négativement les perspectives salariales de la recourante pour les activités adaptées existantes. En admettant un abattement de 5 % pour tenir compte de l’impact des limitations fonctionnelles, déjà dûment prises en considération dans la fixation de la capacité de travail dans une activité adaptée à un taux réduit de 70 % et de l’âge de la recourante, l’intimé n’a pas sous-estimé de manière grossière les circonstances personnelles de l’assurée en violation de sa marge d’appréciation. Partant, il convient de retenir un revenu d’invalide de 37'057 fr. 15. c) Compte tenu de ce qui précède, la comparaison d’un revenu sans invalidité de 53'890 fr. avec un revenu d’invalide de 37'057 fr. 15 conduit à une perte de gain de 16'832 fr. 85, correspondant à un taux d’invalidité de 31,23 %, inférieur au seuil légal ouvrant droit à une rente d’invalidité (cf. art. 28 al. 2 LAI dans sa teneur en vigueur jusqu’au 31 décembre 2021). 7. La recourante requiert, à titre de mesures d’instruction, la mise en œuvre d’une expertise pluridisciplinaire, dans le domaine respectif des affections dont elle souffre. En l’état du dossier, l’instruction concernant l’état de santé et les limitations fonctionnelles de la recourante est complète. La Cour de céans, procédant à une appréciation anticipée des preuves (ATF 145 I 167 consid. 4.1 ; 140 I 285 consid. 6.3.1 ; 130 II</w:t>
      </w:r>
    </w:p>
    <w:p>
      <w:r>
        <w:t>- 34 - 425 consid. 2.1), rejette la réquisition, dès lors qu’elle s’estime suffisamment renseignée et que la mesure sollicitée n’est pas de nature à ébranler sa conviction. 8. a) En conclusion, le recours, mal fondé, doit être rejeté et la décision attaquée confirmée en tant qu’elle nie le droit de la recourante à une rente d’invalidité.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