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ZD21.020630 vom 18. Februar 2022</w:t>
      </w:r>
    </w:p>
    <w:p>
      <w:r>
        <w:t>VD Tribunal cantonal, 2022-02-18, FR</w:t>
      </w:r>
    </w:p>
    <w:p>
      <w:r>
        <w:rPr>
          <w:b/>
        </w:rPr>
        <w:t xml:space="preserve">Quelle: </w:t>
      </w:r>
      <w:r>
        <w:t>https://mcp.opencaselaw.ch/entscheid/vd_gerichte_ZD21.020630</w:t>
      </w:r>
    </w:p>
    <w:p>
      <w:r>
        <w:t>FR: VD_GERICHTE ZD21.020630 du 18 février 2022</w:t>
      </w:r>
    </w:p>
    <w:p>
      <w:r>
        <w:t>IT: VD_GERICHTE ZD21.020630 del 18 febbraio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 doit être admis et la décision attaquée annulée, la cause étant renvoyée à l’OAI afin qu’il en complète</w:t>
      </w:r>
    </w:p>
    <w:p>
      <w:r>
        <w:t>- 35 - l’instruction dans le sens des considérants puis rende une nouvelle décision. b) La procédure de recours en matière de contestations portant sur l’octroi ou le refus de prestations de l’assurance-invalidité est soumise à des frais de justice (art. 69 al. 1bis LAI). Il convient de les fixer à 600 fr. et de les mettre à la charge de l’intimé, vu l’issue du litige. c) La recourante obtient gain de cause et a droit à une indemnité de dépens à titre de participation aux honoraires de son conseil (art. 61 let. g LPGA). Il convient d’arrêter cette indemnité à 2’000 fr., débours et TVA compris (art. 10 et 11 TFJDA [tarif du 28 avril 2015 des frais judiciaires et des dépens en matière administrative ; BLV 173.36.5.1]), et de la mettre à la charge de l’intimé.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