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ZD21.020570 vom 5. November 2025</w:t>
      </w:r>
    </w:p>
    <w:p>
      <w:r>
        <w:t>VD Tribunal cantonal, 2025-11-05, FR</w:t>
      </w:r>
    </w:p>
    <w:p>
      <w:r>
        <w:rPr>
          <w:b/>
        </w:rPr>
        <w:t xml:space="preserve">Quelle: </w:t>
      </w:r>
      <w:r>
        <w:t>https://mcp.opencaselaw.ch/entscheid/vd_gerichte_ZD21.020570</w:t>
      </w:r>
    </w:p>
    <w:p>
      <w:r>
        <w:t>FR: VD_GERICHTE ZD21.020570 du 5 novembre 2025</w:t>
      </w:r>
    </w:p>
    <w:p>
      <w:r>
        <w:t>IT: VD_GERICHTE ZD21.020570 del 5 novembre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Dans un moyen formel, la recourante reproche à l’office intimé d’avoir violé son droit d’être entendue, au motif que le rapport d’enquête économique sur le ménage du 13 juillet 2020 sur lequel se fondait l’OAI dans la décision attaquée ne lui avait pas été soumis pour qu’elle se déterminât à son propos dans le cadre de l’entretien réalisé à son domicile. Le droit de consulter le dossier est un aspect du droit d’être entendu garanti par l’art. 29 al. 2 Cst. (ATF 132 II 485 consid. 3.2). Il est notamment concrétisé à l’art. 47 al. 1 let. a LPGA selon lequel l’assuré a le droit de consulter le dossier pour les données qui le concernent. Le droit de consulter le dossier s’étend à toutes les pièces décisives figurant au dossier et garantit que les parties puissent prendre connaissance des éléments fondant la décision et s’exprimer à leur sujet (ATF 132 II 485 consid. 3.2 ; 129 I 85 consid. 4.1 ; 125 II 473 consid. 4c/cc ; 121 I 225 consid. 2a).</w:t>
      </w:r>
    </w:p>
    <w:p>
      <w:r>
        <w:t>- 9 - L’art. 29 al. 2 Cst. ne confère toutefois pas le droit de prendre connaissance de documents purement internes qui sont destinés à la formation de l’opinion et qui n’ont pas le caractère de preuves (ATF 129 V 472 consid. 4.2.2 ; 125 II 473 consid. 4a ; 115 V 297 consid. 2g/aa). Ainsi, le Tribunal fédéral a précisé que, dans le cadre d’une expertise, il n’existe pas un droit de consulter les notes internes destinées à la formation de l’opinion de l’expert ni, en général, les documents de travail préparatoires de l’expertise, comme les instruments destinés à établir une expertise, à savoir notamment les annotations concernant des résultats de tests ou d’autres observations. Cependant, un tribunal peut être tenu d’autoriser la consultation de tels documents lorsque cela paraît nécessaire dans le cas concret pour examiner les fondements et les conclusions d’un rapport (TF 8C_659/2013 du 4 juin 2014 consid. 3.2 et les références). bb) En l’espèce, il y a lieu d’appliquer par analogie les principes développés par le Tribunal fédéral en matière de notes internes d’un expert. Ainsi, les notes internes de l’évaluateur chargé d’une enquête économique sur le ménage constituent incontestablement des documents de travail internes destinés uniquement à la formation de l’opinion de l’évaluateur. Au demeurant, force est de remarquer que les observations recueillies par l’évaluatrice ont été retranscrites dans le rapport que celle- ci a établi le 13 juillet 2020. En réalité, en tant que la recourante conteste le contenu du rapport d’enquête, elle formule des critiques qui portent sur le résultat de l’appréciation des preuves et qui se confondent avec le grief tiré d’une constatation manifestement inexacte des faits pertinents, de sorte qu’elles doivent être examinées avec le fond du litige.</w:t>
      </w:r>
    </w:p>
    <w:p>
      <w:r>
        <w:rPr>
          <w:b/>
        </w:rPr>
        <w:t>E. 3</w:t>
      </w:r>
    </w:p>
    <w:p>
      <w:r>
        <w:t>a) Sur le fond, le litige a pour objet le droit de la recourante à une allocation pour impotent. b) Dans le cadre du « développement continu de l'AI », la LAI, le RAI (règlement du 17 janvier 1961 sur l’assurance-invalidité ; RS 831.201) et la LPGA – notamment – ont été modifiés avec effet au 1er janvier 2022 (RO 2021 705 ; FF 2017 2535). Compte tenu cependant du principe de droit intertemporel prescrivant l'application des dispositions</w:t>
      </w:r>
    </w:p>
    <w:p>
      <w:r>
        <w:t>- 10 - légales qui étaient en vigueur lorsque les faits juridiquement déterminants se sont produits (ATF 148 V 21 consid. 5.3), le droit applicable reste, en l'occurrence, celui qui était en vigueur jusqu'au 31 décembre 2021 dès lors que la décision administrative litigieuse a été rendue avant cette date.</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(dans sa teneur en vigueur au 31 décembre 2021) prévoit qu'est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w:t>
      </w:r>
    </w:p>
    <w:p>
      <w:r>
        <w:t>- 11 - - d’une aide régulière et importante d’autrui pour accomplir la plupart des actes ordinaires de la vie (let. a) ; - d’une aide régulière et importante d’autrui pour accomplir au moins deux actes ordinaires de la vie et, en outre, d’une surveillance personnelle permanente (let. b) ; ou -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 Selon une jurisprudence constante (ATF 127 V 94 consid. 3c ; 125 V 297 consid. 4a et les références citées), ainsi que selon les chiffres 2020 ss de la Circulaire sur l’impotence (CSI) édictée par l’Office fédéral des assurances sociales (OFAS), les actes élémentaires de la vie quotidienne comprennent les six actes ordinaires suivants : - se vêtir et se dévêtir ; - se lever, s’asseoir et se coucher ; - manger ; - faire sa toilette (soins du corps) ;</w:t>
      </w:r>
    </w:p>
    <w:p>
      <w:r>
        <w:t>- 12 - - aller aux toilettes ; - se déplacer.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L’aide à l’accomplissement des actes précités peut être directe ou indirecte. Il y a aide indirecte de tiers lorsque l’assuré est fonctionnellement en mesure d’accomplir lui-même les actes ordinaires de</w:t>
      </w:r>
    </w:p>
    <w:p>
      <w:r>
        <w:t>- 13 -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d)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w:t>
      </w:r>
    </w:p>
    <w:p>
      <w:r>
        <w:t>- 14 - e)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 – 598).</w:t>
      </w:r>
    </w:p>
    <w:p>
      <w:r>
        <w:rPr>
          <w:b/>
        </w:rPr>
        <w:t>E. 5</w:t>
      </w:r>
    </w:p>
    <w:p>
      <w:r>
        <w:t>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(cf. ATF 126 V 353 consid. 5b et 125 V 193 consid. 2).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w:t>
      </w:r>
    </w:p>
    <w:p>
      <w:r>
        <w:rPr>
          <w:b/>
        </w:rPr>
        <w:t>E. 6</w:t>
      </w:r>
    </w:p>
    <w:p>
      <w:r>
        <w:t>a) Dans sa décision du 29 mars 2021, l’intimé n’a pas admis chez la recourante le besoin d’aide régulière et importante d’un tiers pour au moins deux actes ordinaires de la vie. En outre, le besoin d’un accompagnement durable pour faire face aux nécessités de la vie de deux heures par semaine en moyenne sur une période de trois mois n’était pas prouvé. Se référant aux avis médicaux convergents, en particulier au rapport d’expertise judiciaire du 25 novembre 2024 de la Dre C.________, la</w:t>
      </w:r>
    </w:p>
    <w:p>
      <w:r>
        <w:t>- 15 - recourante fait valoir que son état de santé déficient de longue date l’empêche de pouvoir vivre de manière indépendante, de faire face aux nécessités de la vie et de maintenir des contacts sociaux sans une aide. Elle ajoute que le pronostic est très réservé, voire défavorable, à toute amélioration substantielle à court ou moyen terme. Compte tenu du besoin d’un accompagnement pour faire face aux nécessités de la vie et du dépôt de la demande de prestations le 18 décembre 2019, elle estime avoir doit à une allocation pour impotent de degré faible dès le 18 décembre 2018. Dans ses écritures, l’intimé admet finalement, sur la base de l’expertise psychiatrique judiciaire, de retenir une aggravation de l’état de santé de la recourante dont la capacité de travail est nulle dans toutes activités pour raison psychiatrique depuis la fin du mois de septembre 2016. Concernant le droit à une allocation pour impotent de l’assurance- invalidité, l’intimé suggère la réalisation d’une nouvelle évaluation au domicile de la recourante afin d’éprouver l’éventuel besoin d’un accompagnement pour faire face aux nécessités de la vie dans le cas particulier. b) Selon l’experte judiciaire (la Dre C.________), la recourante présente depuis le mois de septembre 2016 un tableau clinique psychique déficient exacerbé à l’origine d’une situation marquée par une désorganisation massive du quotidien, une instabilité émotionnelle, une très faible intolérance au stress, des troubles de la mémoire et de la concentration et une labilité affective extrême, empêchant l’intéressée de structurer seule ses journées, de gérer ses travaux administratifs, de maintenir des contacts sociaux ou de quitter son domicile sans aide. Elle observe que dans son fonctionnement quotidien, la recourante dépend de son frère, de sa belle-sœur ainsi que de son entourage proche depuis le départ de ses parents à l’étranger (Portugal). La recourante est dans une situation de dépendance psychosociale et affective importante, avec une forte variabilité dans son comportement au quotidien qui nécessite la présence ou le soutien fréquent d’un tiers, et cela en particulier pour faire face à des événements simples du quotidien. Ses débordements</w:t>
      </w:r>
    </w:p>
    <w:p>
      <w:r>
        <w:t>- 16 - émotionnels, son intolérance à la frustration, sa perte de repères sociaux et son inaptitude à conserver des interactions professionnelles stables, sont autant d’illustrations de la fragilité de l’état de santé actuel de la recourante. Cette analyse est corroborée par les médecins consultés par la recourante. Ainsi, dans leurs rapports des 11 novembre 2022 et 23 janvier 2023 dont l’experte psychiatre judiciaire a tenu compte en les résumant, les médecins traitants décrivent chez leur patiente une personnalité émotionnellement labile de type borderline et un trouble affectif bipolaire, épisode actuel mixte, avec une anxiété permanente, une agressivité imprévisible et une incapacité à gérer seule les imprévus du quotidien. Ces médecins notent que l’intéressée est intolérante à la critique et aux contraintes sociales ordinaires, qu’elle présente une hypersensibilité interpersonnelle et que toute exposition à un environnement social ou administratif engendre des réactions de fuite, d’isolement voire d’explosivité. De son côté, la psychologue V.________ retient au vu des « différentes situations problématiques dans lesquelles Madame est empêtrée et (de) son comportement agressif envers toute forme de critique et contrariété » des difficultés de la recourante à gérer ses émotions, précisant que son impulsivité se transforme rapidement en agressivité verbale et physique qui constitue un « réel problème » pour l’intéressée qui peine à garder des relations, surtout dans une activité rémunérée. Selon cette intervenante, c’est le trouble de la personnalité remontant vraisemblablement à l’enfance qui empêche l’intéressée de voir clair en ses capacités, ses émotions et de changer de vie ; ses buts étant devenus sa raison d’exister, elle ne parvient pas à envisager un changement de perspectives alors qu’elle serait en mesure d’en fixer de nouvelles beaucoup plus prometteuses (rapport du 29 mars 2021 de la psychologue traitante V.________ résumé dans l’expertise psychiatrique judiciaire de la Dre C.________). De l’avis de l’experte judiciaire, en raison de son état de santé psychique altéré, la recourante ne sort de chez elle que de manière exceptionnelle et a besoin d’être accompagnée pour effectuer ses courses</w:t>
      </w:r>
    </w:p>
    <w:p>
      <w:r>
        <w:t>- 17 - et pour honorer les rendez-vous avec le médecin, etc. Pour gérer ses affaires administratives, elle requiert le soutien de son ancienne assistante sociale et de sa belle-sœur. L’état psychique susceptible de varier du « tout au tout » dont la recourante souffre depuis de nombreuses années a également pour conséquence qu’elle se plaint d’être rejetée, incomprise par autrui, si bien qu’elle a reconnu devant l’experte judiciaire se fâcher régulièrement contre tout le monde, y compris contre ses thérapeutes lorsqu’elle se sent confrontée et contrainte. Compte tenu de son atteinte à la santé psychique, la recourante est incapable, depuis plusieurs années déjà, de vivre de manière indépendante sans l’accompagnement d’une tierce personne pour lui permettre de pouvoir organiser sa vie. Le besoin d’un accompagnement durable pour faire face aux nécessités de la vie est d’autant plus justifié que les débordements émotionnels et les agis impulsifs de la recourante et qu’elle subit depuis de nombreuses années ne permettent pas d’envisager une amélioration à court ou moyen terme. A cet égard, les déclarations de la belle-sœur de la recourante figurant dans le rapport d’expertise judiciaire ne font que confirmer tant l’aggravation de l’état de santé que les difficultés rencontrées par l’intéressée au quotidien, laquelle, à la suite d’explosions de rage, est capable de rester prostrée sur son canapé durant des jours, à ne vouloir voir plus personne, à ne plus vouloir sortir jusqu’à finalement, une fois calmée, aller s’excuser auprès des personnes touchées par son comportement. A domicile, après avoir eu un différent avec son frère sur une question politique, la recourante avait eu un changement d’humeur à un tel point qu’elle était fortement perturbée et ne contrôlait plus ses gestes, lâchant la vaisselle, les plats et avait demandé à toutes les personnes présentes de partir rapidement afin de lui permettre de se retrouver seule. Des événements similaires s’étaient produits au magasin ou chez le dermatologue, selon les dires de la belle-sœur de la recourante. Une telle situation est d’autant plus insatisfaisante qu’en l’état actuel de la science médicale, l’unique thérapeutique proposée par l’experte judiciaire C.________ est un traitement psycho traumatologique</w:t>
      </w:r>
    </w:p>
    <w:p>
      <w:r>
        <w:t>- 18 - dans le but de stabiliser au mieux les symptômes présentés, d’élargir la fenêtre de tolérance au stress et d’aider la recourante à intégrer son vécu dissociatif pour pouvoir le minorer, puis en cas d’évolution favorable, alors de pouvoir éventuellement à l’aide de thérapies reconnues comme l’EMDR [Eye Movement Desensitization and Reprocessing] et travailler sur les traumatismes infantiles. La Dre C.________ précise qu’il s’agit toutefois d’un travail de longue haleine, qui ne peut intervenir qu’en cas d’une stabilisation de l’état de santé, ce qui n’était pas le cas de l’assurée lors de l’expertise judiciaire psychiatrique datant de l’automne 2024. c) Sur le vu de ce qui précède, il convient de constater que la recourante a besoin depuis plusieurs années d’un accompagnement durable pour faire face aux nécessités de la vie au sens de l’art. 38 RAI. Cela lui ouvre dès lors le droit à une allocation pour impotent de degré faible (cf. art. 37 al. 3 let. e RAI).</w:t>
      </w:r>
    </w:p>
    <w:p>
      <w:r>
        <w:rPr>
          <w:b/>
        </w:rPr>
        <w:t>E. 7</w:t>
      </w:r>
    </w:p>
    <w:p>
      <w:r>
        <w:t>Il convient encore de déterminer à partir de quelle date l’allocation pour impotent de degré faible doit être versée. a) Selon l’art. 42 al. 4 LAI (dans sa teneur en vigueur au 31 décembre 2021),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est régie, à partir de l’âge d’un an, par l’art. 29 al. 1 LAI. b) Le Tribunal fédéral a toutefois précisé que contrairement au renvoi de l’art. 42 al. 4 in fine LAI, le début du droit à l’allocation pour impotent ne se détermine pas en fonction de l’art. 29 al. 1 LAI, mais de l’art. 28 al. 1 LAI (ATF 137 V 351 consid. 4 et 5). Dès lors que les conditions posées par cette dernière disposition s’agissant du droit à la rente d’invalidité sont applicables par analogie au domaine des allocations pour impotent, il en résulte qu’un droit à une telle prestation ne peut pas</w:t>
      </w:r>
    </w:p>
    <w:p>
      <w:r>
        <w:t>- 19 - naître avant l’échéance d’un délai de carence d’une année à compter de la survenance de l’impotence (TF 9C_326/2017 du 18 septembre 2017 consid. 3.1). c) En l’occurrence, la recourante, au bénéfice d’une rente entière d’invalidité à compter du 1er septembre 2017 pour motif psychique totalement incapacitant depuis le 27 septembre 2016, a droit en principe à une allocation pour impotent de degré faible également ouvert depuis lors. Toutefois, compte tenu du dépôt de la demande de prestation le 19 décembre 2019, le droit à une allocation pour importent de degré faible ne peut prendre naissance qu’à partir du 1er décembre 2018, soit douze mois avant le dépôt de la formule (cf. art. 42 al. 4 et 48 al. 1 LAI).</w:t>
      </w:r>
    </w:p>
    <w:p>
      <w:r>
        <w:rPr>
          <w:b/>
        </w:rPr>
        <w:t>E. 8</w:t>
      </w:r>
    </w:p>
    <w:p>
      <w:r>
        <w:t>En définitive, le recours doit être admis et la décision attaquée réformée en ce sens que la recourante a droit à une allocation pour impotent de degré faible à compter du 1er décembre 2018.</w:t>
      </w:r>
    </w:p>
    <w:p>
      <w:r>
        <w:rPr>
          <w:b/>
        </w:rPr>
        <w:t>E. 9</w:t>
      </w:r>
    </w:p>
    <w:p>
      <w:r>
        <w:t>Dans son mémoire de recours du 11 mai 2021, la recourante a requis la mise en œuvre de débats publics sans invoquer l’art. 6 par. 1 CEDH (Convention de sauvegarde des droits de l'homme et des libertés fondamentales du 4 novembre 1950 ; RS 0.101), ni faire référence à la jurisprudence y relative. À l’appui de sa requête de mise en œuvre de débats déposée dans son mémoire de recours, elle s’est en effet limitée à requérir son audition et celle de sa belle-sœur susceptible d’attester de son besoin d’accompagnement pour faire face aux nécessités de la vie. Un tel besoin étant retenu en l’espèce, la requête formulée par la recourante tendant à la mise en œuvre d’une mesure d’instruction et qui ne fonde pas l’obligation d’organiser des débats publics au sens de l’art. 6 CEDH est donc sans objet.</w:t>
      </w:r>
    </w:p>
    <w:p>
      <w:r>
        <w:rPr>
          <w:b/>
        </w:rPr>
        <w:t>E. 10</w:t>
      </w:r>
    </w:p>
    <w:p>
      <w:r>
        <w:t>a) La procédure de recours en matière de contestations portant sur des prestations de l’assurance-invalidité est soumise à des frais de justice (art. 69 al. 1bis LAI). Il convient de les fixer à 600 fr. et de les mettre à la charge de l’intimé, vu l’issue du litige.</w:t>
      </w:r>
    </w:p>
    <w:p>
      <w:r>
        <w:t>- 20 - b) La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