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ZD21.020004 vom 28. Februar 2022</w:t>
      </w:r>
    </w:p>
    <w:p>
      <w:r>
        <w:t>VD Tribunal cantonal, 2022-02-28, FR</w:t>
      </w:r>
    </w:p>
    <w:p>
      <w:r>
        <w:rPr>
          <w:b/>
        </w:rPr>
        <w:t xml:space="preserve">Quelle: </w:t>
      </w:r>
      <w:r>
        <w:t>https://mcp.opencaselaw.ch/entscheid/vd_gerichte_ZD21.020004</w:t>
      </w:r>
    </w:p>
    <w:p>
      <w:r>
        <w:t>FR: VD_GERICHTE ZD21.020004 du 28 février 2022</w:t>
      </w:r>
    </w:p>
    <w:p>
      <w:r>
        <w:t>IT: VD_GERICHTE ZD21.020004 del 28 febbraio 2022</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- 14 -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sa teneur en vigueur au 31 décembre 2021).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w:t>
      </w:r>
    </w:p>
    <w:p>
      <w:r>
        <w:t>- 15 - échelonnée (ATF 133 V 263 consid. 6.1 ; 131 V 164 consid. 2.2 ; 125 V 413 consid. 2d).</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- 16 -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w:t>
      </w:r>
    </w:p>
    <w:p>
      <w:r>
        <w:t>- 17 -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f)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6</w:t>
      </w:r>
    </w:p>
    <w:p>
      <w:r>
        <w:t>a) Le recourant entend obtenir un complément d’instruction médicale. Il reproche à l’intimé de s’être essentiellement fondé sur le rapport du Dr L.________ du 26 octobre 2020 dans lequel ce spécialiste fait état d’un bon pronostic et d’une capacité de travail de « 80-100% » dans une activité adaptée. L’intéressé rappelle que le spécialiste en question ne l’a vu que deux fois pour des infiltrations. Il prétend que l’appréciation du Dr L.________ ne serait pas établie sur une connaissance approfondie de la situation et ne tiendrait pas compte de son évolution ultérieure. Il relève que son état de santé ne se serait pas amélioré, malgré ces infiltrations. Il indique que la problématique douloureuse a persisté nonobstant les</w:t>
      </w:r>
    </w:p>
    <w:p>
      <w:r>
        <w:t>- 18 - mesures médicales dont il a bénéficié. Il se réfère essentiellement au rapport de son médecin traitant, le Dr M.________, du 31 mars 2021. Quant à l’intimé, il renvoie, implicitement, à la décision entreprise et aux conclusions médicales du SMR. b) Sur le plan médical, il n’est pas contesté qu’à la suite de la lombosciatalgie droite apparue au début de l’année 2019, le recourant a présenté une incapacité de travail totale. L’évolution a été défavorable, malgré les infiltrations et la physiothérapie. L’intéressé n’est du reste plus en mesure d’exercer son activité habituelle de chauffeur-livreur, ce dont les parties de disconviennent pas. Il apparaît cependant que, au terme des divers traitements, une activité adaptée restait exigible. La décision entreprise se fonde sur le rapport SMR de la Dre E.________ du 8 décembre 2020. Ce rapport a été établi sur la base des renseignements médicaux recueillis auprès des médecins consultés par le recourant. A la lecture dudit rapport, il y a lieu de constater que l’intéressé souffre, depuis à tout le moins le 24 janvier 2019 d’une lombosciatalgie avec une petite hernie discale à gauche L5-S1 et de spondylarthrose à composante inflammatoire L3-L4 et L4-L5. Les douleurs lombaires s’inscrivent dans le cadre de troubles statiques et dégénératifs du rachis, relevés par tous les médecins (cf. rapports du Dr M.________ des 15 juin 2020 et 31 mars 2021 ; rapport du Dr L.________ du 26 octobre 2020 ; rapport du Dr U.________ du 9 octobre 2019 ; rapport du Dr G.________ du 5 juin 2020 ; rapport de la Dre C.________ du 18 février 2021). Les diagnostics ne sont pas contestés, étant rappelé que les examens menés ont permis d’exclure de plus graves atteintes, notamment sur le plan neurologique (rapport du Dr U.________ du</w:t>
      </w:r>
    </w:p>
    <w:p>
      <w:r>
        <w:rPr>
          <w:b/>
        </w:rPr>
        <w:t>E. 9</w:t>
      </w:r>
    </w:p>
    <w:p>
      <w:r>
        <w:t>octobre 2019 ; rapport du Dr Q.________ du 5 février 2020). Quant aux limitations fonctionnelles retenues par le SMR (« possibilité d’alterner les positions, pas de positions assise/debout/en marchant prolongées, conduite d’automobile, port de charge lourde, mouvements sollicitant le rachis [rotation, flexion] »), elles ne sont pas remises en cause.</w:t>
      </w:r>
    </w:p>
    <w:p>
      <w:r>
        <w:t>- 19 - Le SMR reconnaît le caractère invalidant de ces atteintes jusqu’au 26 octobre 2020, soit au terme des divers traitements dont le recourant a bénéficié. A cette date, la réadaptation était possible (rapport SMR du 8 décembre 2020), ceci sur la base du rapport du Dr L.________ qui a examiné le recourant le 26 octobre 2020. c) Seule la répercussion des atteintes à la santé sur la capacité de travail de l’intéressé dans une activité adaptée dès le 26 octobre 2020 demeure litigieuse. De ce point de vue, l’appréciation de la Dre E.________ s’avère convaincante, les rapports établis par les médecins consultés par le recourant ne permettant pas d’instiller de doute sur son évaluation du dossier assécurologique dont elle opère la synthèse. La Dre E.________ a conclu que la capacité de travail du recourant dans l’activité de chauffeur-livreur était nulle et que, dans une activité strictement adaptée aux limitations fonctionnelles, il demeurait une capacité de travail de 80 à 100 %, malgré les lombalgies chroniques. Pour évaluer les répercussions des diagnostics retenus sur la capacité de travail de l’intéressé, la Dre E.________ a repris les examens minutieux au dossier sur les plans ostéoarticulaire et neurologique, étant précisé que le recourant a fait l’objet d’examens cliniques, en sus de son médecin généraliste traitant, auprès d’un neurochirurgien, d’un neurologue, d’un chirurgien orthopédique et de deux anesthésiologues, ceci sur la base d’un dossier d’imageries constitué au fil des examens. La médecin du SMR a opéré la synthèse du dossier sans avancer d’autres éléments que ceux soulevés par les médecins traitants. Le rapport du Dr L.________ du 26 octobre 2020 est clair et concis. Il a été rédigé après un examen clinique et les limitations fonctionnelles qu’il retient sont celles indiquées par les autres médecins (rapports du Dr M.________ des 15 juin 2020, 17 septembre 2020 et 31 mars 2021 ; rapport du Dr G.________ du 5 juin 2020 ; rapport de la Dre C.________ du 18 février 2021 ; voir aussi, rapport d’O.________ du 22 novembre 2019). C’est à juste titre que la Dre E.________ a admis</w:t>
      </w:r>
    </w:p>
    <w:p>
      <w:r>
        <w:t>- 20 - l’évaluation du Dr L.________ dans le cadre de son rapport du 8 décembre 2020. Les éléments médicaux du dossier permettent en effet de valider les conclusions du Dr L.________. Ainsi, le neurochirurgien consulté, le Dr U.________, relève l’absence de véritable irradiation douloureuse dans les membres inférieurs et l’absence de conflit radiculaire. Il a en outre indiqué que les lombalgies avaient « relativement peu de substrats anatomiques sur l’imagerie » (rapport du 9 octobre 2019). Ces constats sont corroborés par l’examen du Dr Q.________ (rapport du 5 février 2020), lequel ne relève pas de signe d’atteinte neurogène périphérique significatif, concédant une discrète limitation de la mobilité du rachis lombaire sans syndrome lombo-vertébral significatif associé, dans le cadre d’un examen qualifié de rassurant et marqué par une mauvaise collaboration du recourant. Durant son examen clinique, le neurologue consulté par l’intéressé a pu exclure une compression d’origine discale des racines du nerf sciatique L5-S1 (manœuvre de Lasègue négative). Il n’a identifié qu’une discrète limitation de la mobilité du rachis lombaire, une légère sensibilité de point de Valleix du fessier à droite et relevé une contradiction entre d’une part une hypoesthésie tactile et douloureuse intéressant la face externe du membre inférieur droit et d’autre part une trophicité musculaire, des réflexes tendineux et une force brute qui paraissaient préservés des deux côtés. Le Dr Q.________ a conclu à un bilan rassurant chez un patient dont il a relevé une collaboration suboptimale du fait qu’il n’avait pas développé totalement sa force contre résistance à l’électromyogramme. Quant au physiothérapeute d’O.________, bien que non médecin, il a relevé des éléments en faveur d’une autolimitation et d’une kinésiophobie sur le compte de laquelle il mettait le déconditionnement observé (bilan du 11 novembre 2019, pp. 86 à 89 du dossier AI). Le Dr G.________ a lui fait état, dans son rapport du 5 juin 2020, d’une corrélation radioclinique imparfaite entre les plaintes et les éléments objectifs dont il disposait, mais surtout de manifestes signes d’exagération (3 à 5 signes selon Waddell présents). Il indique également qu’il n’y a pas de limitations pour un travail à l’ordinateur. Quant à la Dre C.________, son examen n’a pas révélé de nouvel élément, le status</w:t>
      </w:r>
    </w:p>
    <w:p>
      <w:r>
        <w:t>- 21 - étant comparable à celui relaté par les autres spécialistes (rapport du</w:t>
      </w:r>
    </w:p>
    <w:p>
      <w:r>
        <w:rPr>
          <w:b/>
        </w:rPr>
        <w:t>E. 11</w:t>
      </w:r>
    </w:p>
    <w:p>
      <w:r>
        <w:t>février 2021). On constate de surcroît une attitude plutôt passive face à la maladie, le recourant ne recherchant pas activement une activité professionnelle compatible avec ses problèmes de santé, ce qui n’est guère cohérent chez une personne jeune appelée à travailler encore de nombreuses années. Rien n’indique que, dans la mesure où les limitations fonctionnelles sont respectées, le recourant ne bénéficierait pas d’une capacité de travail de 80 à 100 % dans une activité adaptée. En particulier, le Dr M.________ n’explique pas dans son avis du 31 mars 2021 dans quelle mesure et pour quelles activités le recourant est incapable de travailler, en se fondant sur des constatations médicales et objectives, singulièrement un examen clinique détaillant le status, voire un examen radioclinique. Il n’y a pas lieu de donner la préférence à cet avis, étant également rappelé que le médecin traitant est généralement enclin, en cas de doute, à prendre parti pour son patient en raison de la relation de confiance qui l’unit à ce dernier. On relève que le Dr M.________ décrit un patient très algique sans toutefois y associer un substrat organique justifiant des restrictions plus élevées dans l’exercice d’une activité. Il s’est essentiellement, voire exclusivement, fondé sur les douleurs du recourant et n’a pas mis en évidence un élément objectif nouveau par rapport à l’examen du Dr L.________, repris par la médecin du SMR (TF 8C_98/2021 du 2 juillet 2021 consid. 4.2 et 4.3). Dans un contexte algique tel que rapporté par le Dr M.________, il convient de rappeler que, compte tenu des difficultés en matière de preuve pour établir l’existence de douleurs, les simples plaintes subjectives de la personne assurée ne sauraient suffire pour justifier une invalidité entière ou partielle. L’allégation de douleurs doit être confirmée par des observations médicales concluantes, à défaut de quoi une appréciation du droit aux prestations ne peut être assurée de manière conforme à l’égalité de traitement entre assurés (ATF 130 V 352 consid. 2.2.2). Or, le Dr M.________ ne décrit pas d’atteinte objective permettant une appréciation différente de la capacité de travail. Le Dr M.________ n’indique pas pour quels motifs le recourant était incapable de travailler même dans</w:t>
      </w:r>
    </w:p>
    <w:p>
      <w:r>
        <w:t>- 22 - une activité adaptée à ses limitations fonctionnelles. Il n’explique pas davantage pour quel motif il faudrait écarter les opinions des différents spécialistes consultés. Au final, il y a lieu de retenir que Dr M.________ n’explique pas, dans son rapport du 31 mars 2021, pour quel motif son patient ne peut plus exercer une activité adaptée à ses limitations fonctionnelles, et ne formule pas d’argument médical objectif à l’encontre de l’appréciation du Dr L.________. L’évaluation de la capacité de travail faite par le Dr M.________ n’a de surcroît pas fait l’objet d’une ligne claire au fil du temps. En effet, dans son rapport du 17 septembre 2020 adressé à F.________, le Dr M.________ estimait possible une reprise. Il a du reste lui- même autorisé une reprise à 50 % (rapport du 10 avril 2019 adressé à F.________), ceci dans une activité qui s’est toutefois révélée inadaptée par la suite. On comprend ainsi mal comment il peut exclure toute capacité de travail dans son rapport du 31 mars 2021. Dans ces circonstances, il y a lieu d’admettre une amélioration déterminante de l’état de santé à la date du rapport du Dr L.________, soit au 26 octobre 2020. d) Au final, il apparaît que, suite aux inflitrations dont le recourant a bénéficié, ses douleurs et handicaps pouvaient être relativisés par la Dre E.________, ceci en l’absence d’indication chirurgicale (rapports du Dr U.________ du 9 octobre 2019 et du Dr Racloz du 26 octobre 2020). Dans ces circonstances, l’évaluation de la capacité de travail résiduelle de l’intéressé retenue dans le rapport SMR du 8 décembre 2020 est convaincante. Il y a ainsi lieu de constater que, compte tenu des atteintes susmentionnées, l’activité habituelle de chauffeur-livreur n’est plus adaptée. Pour le surplus, le recourant a d’abord présenté une incapacité de travail à 100 % du 24 janvier 2019 au mois d’octobre 2020. Dès cette période, il a bénéficié, malgré les atteintes ostéo-articulaires persistantes, d’une capacité de travail de 80 à 100 % dans une activité adaptée à ses limitations fonctionnelles affectant le rachis (possibilité d’alterner les positions, pas de positions assise/debout/en marchant prolongées, pas de conduite d’automobile, pas de port de charge lourde, pas de mouvements sollicitant le rachis comme la rotation ou la flexion).</w:t>
      </w:r>
    </w:p>
    <w:p>
      <w:r>
        <w:t>- 23 - 7. a) Le recourant soutient qu’au vu de ses limitations fonctionnelles et de l’absence d’expérience professionnelle dans un domaine autre que celui occupé en dernier lieu, il ne serait pas en mesure d’offrir ce qu’un employeur serait en droit d’attendre d’un employé dans des rapports de travail qualifiés de normaux. Selon l’intéressé, un éventuel employeur devrait accepter de telles concessions que l’exercice d’une activité lucrative serait incompatible avec les exigences du marché du travail.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le recourant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(ATF 110 V 273 consid. 4b ; TF 8C_407/2018 du 3 juin 2019 consid. 5.2 ; 9C_633/2016 du 28 décembre 2016 consid. 4.2). On ne saurait toutefois se fonder sur des possibilités de travail irréalistes. Ainsi, on ne peut parler d’une activité exigible au sens de l’art.</w:t>
      </w:r>
    </w:p>
    <w:p>
      <w:r>
        <w:rPr>
          <w:b/>
        </w:rPr>
        <w:t>E. 16</w:t>
      </w:r>
    </w:p>
    <w:p>
      <w:r>
        <w:t>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w:t>
      </w:r>
    </w:p>
    <w:p>
      <w:r>
        <w:t>- 24 -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 recourant et accessibles sans formation particulière (TF 9C_695/2010 du 15 mars 2011 consid. 6.3). Du reste, contrairement à ce que soutient l’intéressé, rien ne permet d’affirmer qu’une activité dans la production ou les services serait nécessairement incompatible avec les limitations fonctionnelles constatées. C’est ici le lieu de souligner que l’OAI a énoncé différents types d’activités envisageables dans la décision entreprise («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comme aide- administratif [réception, scannage et autres] ou vente simple [shop et autres] ») – dont il y a lieu d’admettre qu’elles ne contreviendraient pas aux restrictions physiques découlant des atteintes lombaires. On voit au demeurant mal, sur le vu de l’ensemble des pièces médicales, pourquoi le recourant ne pourrait pas exploiter sa capacité de travail dans une activité adaptée étant rappelé qu’il a même repris en 2019 son ancienne activité – contre-indiquée sur le plan médical – à un taux de 50 %, ce qui démontre une capacité à surmonter ses limitations physiques. En outre, même s’il est resté de nombreuses années chez le même employeur, il s’est décrit comme une personne polyvalente (rapport d’O.________ du 22 novembre 2019, p. 91 du dossier AI) et adaptable (Ibid., p. 92) ; l’évaluation montre également un bon potentiel de réinsertion professionnelle (4,5/5 cf. ibid., p. 91). Les griefs du recourant doivent donc être écartés sur ce plan. 8. a) Le recourant remet en cause le calcul du degré d’invalidité effectué par l’intimé. Il observe que suivant l’extrait du compte individuel</w:t>
      </w:r>
    </w:p>
    <w:p>
      <w:r>
        <w:t>- 25 - et le décompte de son employeur, son salaire annuel était de 69'860 fr. en 2018. Il rappelle que son dernier employeur avait attesté d’une augmentation de salaire mensuelle de 51 fr. en 2019 et en infère un revenu sans invalidité de 70'523 fr. cette année-là. Il se prévaut enfin d’un abattement lors de la détermination du revenu avec invalidité et ce en raison des limitations fonctionnelles qui pénalisent particulièrement une personne avec l’expérience professionnelle dans un métier physique comme le sien et en raison de ses années de service. b) Comme on le verra dans le calcul du degré d’invalidité, le droit à la rente ne peut pas être maintenu au-delà du 31 janvier 2021, ceci même en tenant compte du revenu de valide allégué par le recourant et d’une capacité de travail de 80 % dans une activité adaptée, soit les hypothèses les plus favorables pour l’intéressé.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w:t>
      </w:r>
    </w:p>
    <w:p>
      <w:r>
        <w:t>- 26 - équivalent normalement à une prestation de travail correspondante (ATF 141 V 351 consid. 4.2). cc)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dd)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t>- 27 - c) En l’espèce, il n’y a pas lieu de procéder à un abattement pour les limitations fonctionnelles qui concernent essentiellement l’épargne du rachis et sont suffisamment prises en compte par le fait que l’on tienne compte d’une activité adaptée (Michel Valterio, Commentaire de la Loi fédérale sur l’assurance-invalidité [LAI], Genève/Zurich/Bâle 2018, n°89 ad art. 28a LAI, p. 450) dont l’intimé a donné des exemples précis et convaincants dans la décision attaquée. En revanche, un abattement de 5 % peut être admis pour un assuré ayant travaillé plus de 15 ans pour le même employeur (2003-2019 ; comp. TF 9C_160/20214 du 30 juin 2014 consid. 4.2). A l’échéance du délai d’attente d'une année, soit au mois de janvier 2020, l’incapacité de travail était de 100 % et ouvrait le droit à une rente entière (art. 28 al. 1 LAI), ce dont les parties ne disconviennent pas. Dès le mois d’octobre 2020, même en retenant un revenu sans invalidité de 70'523 fr. tel qu’allégué et le revenu d’invalide le plus favorable de 52'018 fr. 98 avec l’abattement discuté ci-dessus ([68'446 fr. 03 × 80 %] - 5 % ; cf. calcul REA du 11 décembre 2020), la comparaison des revenus révèle une perte de gain de 18'504 fr. 02 (70'523 fr. - 52'018 fr. 98), soit un degré d’invalidité de 26,2 %. Par conséquent, le droit à la rente doit être supprimé dès le 31 janvier 2021, soit trois mois après que le recourant a recouvré une capacité de travail dans une activité adaptée (art. 88a al. 1 RAI). Pour ces motifs, la décision de l’intimé du 8 avril 2021 est conforme au droit fédéral. 9. a) Sur le vu de ce qui précède, le recours, mal fondé, doit être rejeté et la décision querellée du 8 avril 2021 doit être confirmée. b) La partie recourante est au bénéfice de l’assistance judiciaire limitée aux frais de justice. La procédure de recours en matière de contestations portant sur l’octroi ou le refus de prestations de l’assurance-invalidité est soumise</w:t>
      </w:r>
    </w:p>
    <w:p>
      <w:r>
        <w:t>- 28 - à des frais de justice (art. 69 al. 1bis LAI). Les frais judiciaires, arrêtés à 600 fr. et mis à la charge de la partie recourante,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vaudois du 7 décembre 2010 sur l’assistance judiciaire en matière civile ; BLV 211.02.3]).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