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ZD21.019822 vom 11. April 2022</w:t>
      </w:r>
    </w:p>
    <w:p>
      <w:r>
        <w:t>VD Tribunal cantonal, 2022-04-11, FR</w:t>
      </w:r>
    </w:p>
    <w:p>
      <w:r>
        <w:rPr>
          <w:b/>
        </w:rPr>
        <w:t xml:space="preserve">Quelle: </w:t>
      </w:r>
      <w:r>
        <w:t>https://mcp.opencaselaw.ch/entscheid/vd_gerichte_ZD21.019822</w:t>
      </w:r>
    </w:p>
    <w:p>
      <w:r>
        <w:t>FR: VD_GERICHTE ZD21.019822 du 11 avril 2022</w:t>
      </w:r>
    </w:p>
    <w:p>
      <w:r>
        <w:t>IT: VD_GERICHTE ZD21.019822 del 11 aprile 2022</w:t>
      </w:r>
    </w:p>
    <w:p>
      <w:pPr>
        <w:pStyle w:val="Heading2"/>
      </w:pPr>
      <w:r>
        <w:t>Erwägungen</w:t>
      </w:r>
    </w:p>
    <w:p>
      <w:r>
        <w:rPr>
          <w:b/>
        </w:rPr>
        <w:t>E. 3</w:t>
      </w:r>
    </w:p>
    <w:p>
      <w:r>
        <w:t>« Faire sa toilette/soin du corps » ? Il peut avoir besoin de son épouse pour lui laver le dos ou l’aider à s’essuyer le bas du corps quand il sort de la douche car il ne peut pas se pencher.</w:t>
      </w:r>
    </w:p>
    <w:p>
      <w:r>
        <w:rPr>
          <w:b/>
        </w:rPr>
        <w:t>E. 4</w:t>
      </w:r>
    </w:p>
    <w:p>
      <w:r>
        <w:t>« Aller aux toilettes » ? Aucune difficulté à aller aux toilettes</w:t>
      </w:r>
    </w:p>
    <w:p>
      <w:r>
        <w:rPr>
          <w:b/>
        </w:rPr>
        <w:t>E. 5</w:t>
      </w:r>
    </w:p>
    <w:p>
      <w:r>
        <w:t>« Se déplacer » ? Il sort souvent marcher seul, il peut conduire.</w:t>
      </w:r>
    </w:p>
    <w:p>
      <w:r>
        <w:rPr>
          <w:b/>
        </w:rPr>
        <w:t>E. 5.1</w:t>
      </w:r>
    </w:p>
    <w:p>
      <w:r>
        <w:t>;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t>- 18 -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e) Les avis médicaux établis par le SMR constituent des rapports au sens de l’art. 59 al. 2bis LAI, en corrélation avec l’art. 49 al. 1 RAI. Par leur nature, ils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6. a) En l’espèce, l’intimé est entré en matière sur la nouvelle demande de prestations déposée par le recourant en octobre 2018. Il a toutefois conclu que l’évolution de l’état de santé depuis sa première décision, rendue en décembre 2006, ne permettait pas de retenir un degré d’invalidité ouvrant le droit à une rente. Cette appréciation se fonde notamment sur le rapport d’expertise pluridisciplinaire rendu le 8 avril 2021 par L.________, lequel portait tant sur la situation somatique (volets de rhumatologie et de médecine interne) que psychique (volet psychiatrique).</w:t>
      </w:r>
    </w:p>
    <w:p>
      <w:r>
        <w:t>- 19 - Le recourant reproche un manque d’impartialité aux médecins de L.________ qui l’ont examiné. Il a soulevé ce grief, semble-t-il, après le visionnage d’un reportage télévisé portant sur l’application de l’assurance- invalidité en Suisse et mentionne en particulier un passage de l’émission, durant lequel un avocat aurait affirmé que les experts ne seraient pas impartiaux du fait qu’ils travailleraient uniquement pour l’assurance- invalidité et seraient « grassement payés » par elle. Cependant,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(ATF 137 V 210 consid. 1.3.3 et les arrêts cités). Par ailleurs, il y a lieu de relever que l’expertise a été confiée à L.________ conformément à la procédure consacrée par l’art. 72bis RAI. Cette disposition, dans sa teneur en vigueur au 31 décembre 2021, prévoit en effet que les expertises comprenant trois disciplines médicales ou plus doivent se dérouler auprès d’un centre d’expertises médicales conventionné (al. 1) et que l’attribution du mandat doit se faire de manière aléatoire (al. 2). Ce processus a été expliqué au recourant, qui a ensuite eu connaissance du centre désigné, des noms des experts qui seraient amenés à l’examiner ainsi que des questions posées. Il a ainsi eu l’occasion de s’exprimer sur ces divers éléments en amont de l’expertise, mais n’a pas fait usage de cette possibilité. Il n’a pas non plus réagi dans les jours qui ont suivis les entretiens avec les experts, alors qu’il n’avait pas hésité, précédemment, à contester les méthodes de l’expert mandaté par l’assurance perte de gain de son ancien employeur ou de critiquer le rapport du rhumatologue qu’il a consulté pour étayer son dossier AI. Ainsi, force est de constater que les doutes émis par le recourant ne sont que l’expression de son désaccord face à la décision prise à son égard, renforcé par des déclarations d’ordre général d’un avocat interrogé au cours d’un reportage télévisé. L’intéressé n’a toutefois aucun élément particulier à faire valoir à l’encontre des experts qui l’ont examiné à la demande de l’intimé, de sorte que ce grief doit être écarté.</w:t>
      </w:r>
    </w:p>
    <w:p>
      <w:r>
        <w:t>- 20 - b) S’agissant du rapport déposé par les experts de L.________, le recourant ne soulève aucun grief précis et conteste uniquement les conclusions relatives à la capacité de travail qu’il présente. Or, les experts ont eu accès à l’ensemble des pièces versées au dossier de la cause (cf. synthèse du dossier, annexe 4 du rapport interdisciplinaire), parmi lesquelles figuraient en particulier les rapports des médecins traitants et des autres spécialistes qui ont examiné le recourant depuis le dépôt de sa première demande de prestations en 2005. Les experts ont eux-mêmes procédé à des analyses complémentaires (cf. ch. 2 de l’évaluation consensuelle). Ils ont chacun examiné le recourant et établi un rapport portant sur leur spécialité respective. Ces trois rapports comprennent, d’une part, l’anamnèse établie par l’expert sur la base de son entretien avec le recourant, incluant le parcours de vie du recourant, ses plaintes, ses antécédents médicaux ainsi que sa journée-type et, d’autre part, les observations, les diagnostics et les réponses de l’expert aux questions soumises par l’intimé. Chaque expert a motivé ses conclusions et expliqué, cas échéant, les raisons pour lesquelles il s’écartait de l’avis des médecins traitants. Sur la base de ces trois rapports, les experts ont établi une évaluation consensuelle, proposant une synthèse étayée de la situation médicale du recourant. Cette expertise remplit ainsi l’ensemble des réquisits de la jurisprudence en la matière et jouit dès lors d’une pleine valeur probante. c) En l’occurrence, l’argumentation du recourant est uniquement axée sur ses douleurs dorsales, faisant valoir que ses douleurs, la fatigue induite par les nuits entrecoupées, la somnolence due aux médicaments et les absences liées à ses nombreux rendez-vous médicaux ne lui permettaient pas d’envisager de reprendre une activité professionnelle. Dans leur évaluation consensuelle, les experts ont retenu les diagnostics de lombalgies sans irradiation sur atteinte dégénérative discale L5-S1 et articulaire postérieure L2-L3 (M51.9), cervicalgies modérées sans irradiation sur discopathie (M51.3), obésité exogène (E66), status après bypass gastrique pour obésité morbide en 2014, status après</w:t>
      </w:r>
    </w:p>
    <w:p>
      <w:r>
        <w:t>- 21 - mise en place d’un anneau gastrique par laparotomie en 2007 et épisode dépressif léger avec syndrome somatique (F32.01). Ils ont déterminé des limitations fonctionnelles uniquement d’ordre rhumatologique (pas d’effort de soulèvement à partir du sol de plus de 5 à 10 kg, pas de porte-à-faux du buste, port de charges près du corps limité à 5 à 10 kg) et conclu à une capacité de travail de 70 % dans l’activité habituelle de chauffeur de poids-lourds mais de 100 % dans une activité adaptée. Au cours de son entrevue avec le recourant, l’expert rhumatologue a noté que le recourant évoquait deux à trois réveils nocturnes sans lien avec les douleurs dorsales et que l’assuré se rendormait en général très vite (cf. ch. 3.2 du rapport rhumatologique, p. 26), les réveils étant en outre moins nombreux depuis l’introduction d’un antidépresseur (p. 24 du rapport). Dans son évaluation médicale, il a encore relevé qu’une fibromyalgie avait été évoquée par le Dr D.________ en février 2019, mais que ce même médecin n’avait pas formellement posé ce diagnostic lors de l’examen suivant, en juillet 2019 (ch. 7.1 du rapport rhumatologique). Cela étant, l’expert a évalué la situation du recourant comme suit (ch. 7.2 du rapport rhumatologique) : « Monsieur F.________ présente un syndrome lombo-vertébral chronique sur hémisacralisation L5 droite et arthrose postérieure sans aucune compression disco-radiculaire confirmée par un examen clinique qui ne montre aucun signe d’irradiation et par un examen clinique normal. Ceci est également valable pour le rachis cervical qui ne montre qu’une atteinte dégénérative. L’expertisé a été correctement traité par antalgique, éventuellement infiltration, et aucun traitement plus agressif ne pourra lui être indiqué. Il n’a pas été retrouvé au cours de cette expertise de signes de fibromyalgie, que ce soit au rachis, aux membres supérieurs ou aux membres inférieurs. Monsieur F.________ est parfaitement autonome, tout à fait capable de se prendre en charge. Il peut conduire, sortir, marcher, s’habiller et se déshabiller, et effectuer les soins à sa personne sans aucune aide extérieure. » L’expert a ensuite précisé que les douleurs alléguées paraissaient excessives « pour une simple discopathie cervicale et lombaire, sans compression », tandis que le traitement antalgique correspondait globalement à ce que l’on prescrit dans des discopathies simples (ch. 7.3 du rapport rhumatologique). Enfin, il a relevé que l’assuré</w:t>
      </w:r>
    </w:p>
    <w:p>
      <w:r>
        <w:t>- 22 - ne bénéficiait d’aide que pour les gestes où il était obligé de rester en porte-à-faux du buste, ce qui était cohérent avec la description qu’il faisait de sa vie quotidienne, tandis que les exigences du poste de chauffeur poids-lourd étaient les suivantes : « de nombreuses heures de conduite (au moins les ¾), la montée et la descente du camion, évidemment la position assise, rarement de marcher ou parfois de rester debout, souvent soulever des poids légers rarement plus lourds » (ch. 7.4 du rapport rhumatologique). Pour leur part, les médecins traitants du recourant ont établi des rapports médicaux très succincts à l’intention de l’intimé ou de l’assurance perte de gains, dépourvus d’éléments médicaux objectifs à l’appui de leurs conclusions. En effet, dans son rapport du 28 janvier 2019, le Dr O.________ indique seulement, à la rubrique symptômes, « douleur fréquente devenue permanente, invalidante dos – [membre inférieur] » et, pour les constats médicaux, « raideur douloureuse et claudication [membre inférieur] ». Ce médecin ne donne pas plus de détails quant à l’état de santé du recourant dans son rapport du 1er avril 2020, où il mentionne seulement un statu quo au niveau articulaire, une aggravation de l’état de fatigue et des douleurs musculo-articulaires généralisées, ni dans son rapport du 17 juin 2020. Il en va de même des rapports établis par le Dr G.________ les 4 février 2019 et 4 mars 2020. Ce dernier écrit se veut du reste plus un plaidoyer en faveur du recourant qu’un véritable rapport médical, retranscrivant quasi-exclusivement le ressenti du patient plutôt que des constats médicaux. La valeur probante des cinq rapports médicaux précités est ainsi particulièrement faible, les conclusions des médecins traitants paraissant largement influencées par leur empathie envers leur patient de longue date. A cela s’ajoute que, dans leurs rapports respectifs de 2020, ces médecins ne se sont pas positionnés sur les conclusions du Dr D.________ du 2 septembre 2019, pourtant diamétralement opposées aux leurs. Il y a d’ailleurs lieu de relever que dans ledit rapport, le Dr D.________ a mentionné les examens qu’il a pratiqués et leurs résultats, ses observations ainsi que ses conclusions, et a décrit les limitations fonctionnelles, ce qui lui confère une valeur probante élevée. Les Drs O.________ et G.________ n’ont pas non plus pris</w:t>
      </w:r>
    </w:p>
    <w:p>
      <w:r>
        <w:t>- 23 - position sur le rapport d’expertise du Dr M.________ du 20 novembre 2019, ni ensuite sur celui de L.________. Or, le premier expert a conclu à l’absence de pathologie incapacitante, tandis que les experts de L.________ sont arrivés aux mêmes conclusions que le rhumatologue D.________ à propos de la capacité de travail du recourant, dans les deux cas une capacité de travail largement supérieure à celle déterminée par les médecins traitants. Quant à l’argumentation soutenue par le recourant, selon laquelle ses douleurs l’empêcheraient d’accomplir certains actes de la vie courante, il y a lieu de relever que les experts de L.________ ont été invités à se prononcer sur les différents actes analysés dans le cadre d’une demande d’allocation pour impotent et qu’ils ont conclu à l’absence de besoin d’aide pour ces actes. Ils ont par ailleurs passé en revue l’ensemble de ces actes dans leurs appréciations médicales respectives, de sorte qu’ils en ont tenu compte pour évaluer la capacité de travail du recourant. Etant en outre rappelé que cette question a fait l’objet d’une décision séparée, non contestée par le recourant, il convient encore de relever que le Dr O.________ a clairement indiqué dans son rapport du 27 juillet 2020 à l’intimé que, malgré la gravité de ses pathologies, le recourant n’avait besoin d’aucune assistance pour les actes de la vie quotidienne. Par conséquent, il faut constater que, sur le plan rhumatologique, le recourant conserve une capacité de travail de 70 % dans son activité habituelle de chauffeur de poids-lourds, respectivement de 100 % dans une activité adaptée aux limitations fonctionnelles déterminées, aucun rapport médical ne venant sérieusement remettre en doute les conclusions unanimes du rhumatologue consulté par le recourant en 2019 et des experts mandatés respectivement par l’assurance perte de gain et l’intimé. Enfin, le fait que l’assurance perte de gain de son ancien employeur ait qualifié l’activité habituelle du recourant de « médicalement contre-indiquée » n’entre pas directement en contradiction avec les résultats de l’expertise de L.________. L’assurance perte de gain s’est en effet fondée sur l’expertise du Dr M.________, qui a conclu à l’absence d’atteinte incapacitante, ainsi que sur l’avis du Dr D.________, dont les</w:t>
      </w:r>
    </w:p>
    <w:p>
      <w:r>
        <w:t>- 24 - conclusions sont superposables à celles des experts de L.________ s’agissant de l’évaluation de la capacité de travail. Le fait que cette assurance arrive néanmoins à la conclusion que l’activité habituelle est médicalement contre-indiquée doit être mise en lien avec l’activité assurée, qui était un emploi à 100 % dans l’entreprise [...], et de l’éventuelle existence d’un poste de travail répondant aux recommandations de l’expert au sein de cette entreprise. Au demeurant, les constats opérés par l’assurance perte de gain ne lient pas l’assurance- invalidité, qui procède à sa propre appréciation de l’incapacité de travail (cf. TF 9C_672/2018 du 21 décembre 2018 consid. 5.3). d) Sur le plan psychiatrique, le Dr O.________ a mentionné l’existence d’une problématique de cet ordre dans son rapport du 28 janvier 2019 déjà, sans toutefois poser de diagnostic ni donner d’autre précision sur le status. Toutefois, bien que mandaté pour procéder à une expertise médicale d’ordre général par l’assurance perte de gain de l’employeur, le Dr M.________ n’a posé aucun diagnostic psychiatrique dans son rapport du 20 novembre 2019. Le Dr G.________ n’a pour sa part rien évoqué sur ce sujet dans ses écrits. Dans son rapport du 1er avril 2020, le Dr O.________ a évoqué à nouveau une problématique psychique, en signalant une aggravation de l’état de fatigue, un surmenage et une mélancolie profonde, mais n’a toujours pas formellement posé de diagnostic. Son rapport du 17 juin 2020 n’est pas plus précis, le Dr O.________ se limitant à mentionner quelques symptômes et l’absence de rapport du psychiatre consulté. Finalement, il ressort du rapport établi le 23 septembre 2020 par la Dre W.________ que l’assuré a débuté un suivi en juin 2020, mais cette spécialiste a renoncé à poser un diagnostic ou à se prononcer sur la capacité de travail après seulement trois séances, en évoquant une « difficulté assécurologique » et en préconisant la mise en œuvre d’une expertise. Le psychiatre de L.________ a posé le diagnostic d’épisode dépressif léger, avec syndrome somatique (F32.01), en précisant ce qui suit (ch. 6 du rapport psychiatrique) :</w:t>
      </w:r>
    </w:p>
    <w:p>
      <w:r>
        <w:t>- 25 - « Nous retenons un épisode dépressif, initialement moyen, devant l’existence d’une humeur triste, avec une perte légère d’intérêt, une baisse d’estime de soi, qui s’est amélioré avec le temps. Il présente des troubles du sommeil, sans idée d’indignité. Il ne présente plus d’idées suicidaires, et ne présente pas de ralentissement psychomoteur. Il a parfois des troubles du sommeil, mais garde l’appétit. Cette tristesse est apparue en octobre 2019, et s’est poursuivie jusqu’à juillet 2020, date à partir de laquelle, grâce aux médicaments, sa psychiatre a pu observer une amélioration. Depuis, l’épisode peut être qualifié de léger. L’expert a ensuite exposé pour quels motifs il ne retenait pas un épisode dépressif récurrent, ni d’autre diagnostic psychiatrique. Il a par ailleurs relevé que le traitement prescrit par la psychiatre traitante, constitué d’un antidépresseur et un neuroleptique à faible posologie, n’avaient pas été détectés dans les analyses effectuées en vue de l’expertise, ce qui suggérait soit un problème de compliance, soit un métabolisme rapide compte tenu du faible dosage prescrit. Cela étant, en cas de bonne compliance à un traitement éventuellement réévalué, une amélioration clinique était envisageable en l’espace de quatre à huit semaines. Enfin, l’expert a apprécié les capacités, ressources et difficultés du recourant (ch. 7.4 du rapport), puis évalué la capacité de travail (ch. 8 du rapport). A cet égard, il a relevé que, malgré la présence d’un épisode dépressif moyen, la capacité de travail était restée entière dès lors que le recourant n’avait pas présenté de troubles cognitifs majeurs ni de fatigabilité très importante, précisant que l’activité habituelle répondait aux exigences des limitations fonctionnelles, à savoir un « travail entraînant peu de stress, maîtrisé, ne nécessitant pas de prise de décision immédiate, de traitement simultané d’informations multiples ». Le recourant n’oppose aucun argument en lien avec cette appréciation. Ni sa psychiatre traitante, ni le Dr O.________ ou le Dr G.________ n’ont commenté les résultats de cette expertise. En particulier, la Dre W.________ n’a pas établi de rapport complémentaire à l’issue de la période d’évaluation qu’elle a mentionnée dans son écrit du 23 septembre 2020. En l’absence de tout élément d’ordre médical susceptible de remettre en doute les constatations de l’expert psychiatre de L.________, qui a respecté, comme déjà dit, les exigences de la</w:t>
      </w:r>
    </w:p>
    <w:p>
      <w:r>
        <w:t>- 26 - jurisprudence en la matière, il y a lieu de retenir que le recourant ne présente aucune atteinte incapacitante sur le plan psychiatrique. e) En définitive, il apparaît que l’intimé a correctement évalué la capacité de travail du recourant, celle-ci ayant été confirmée par les experts de L.________. Dans son avis du 5 juin 2020, le SMR a déterminé que l’on pouvait admettre une incapacité de travail totale du 3 octobre 2018 au 28 août 2019, puis une capacité de travail de 70 % dans l’activité habituelle et de 100 % dans une activité adaptée. Les experts de L.________ n’ont pas commenté cette chronologie, mais se sont référé à cet avis du SMR en relevant qu’il se fondait sur l’examen clinique du Dr D.________ d’août 2019. La date du 28 août 2019 correspond en effet à la date à laquelle ce médecin a examiné le recourant avant d’adresser son rapport à l’intimé le 2 septembre 2019. Il y a dès lors lieu de confirmer la chronologie proposée par le SMR et reprise par l’intimé dans sa décision.</w:t>
      </w:r>
    </w:p>
    <w:p>
      <w:r>
        <w:rPr>
          <w:b/>
        </w:rPr>
        <w:t>E. 6</w:t>
      </w:r>
    </w:p>
    <w:p>
      <w:r>
        <w:t>Constatez-vous un besoin d’accompagnement pour faire face aux nécessités de la vie ? Non.</w:t>
      </w:r>
    </w:p>
    <w:p>
      <w:r>
        <w:rPr>
          <w:b/>
        </w:rPr>
        <w:t>E. 7</w:t>
      </w:r>
    </w:p>
    <w:p>
      <w:r>
        <w:t>Dans son argumentaire, le recourant remet en question l’exigibilité d’abandonner son domaine d’activité habituel au profit d’une activité adaptée, qu’il est réputé pouvoir exercer à plein temps. a)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Par circonstances subjectives, il faut entendre en premier lieu</w:t>
      </w:r>
    </w:p>
    <w:p>
      <w:r>
        <w:t>- 27 -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 TF 9C_36/2018 du 17 mai 2018 consid. 4.2). S’agissant de l’âge, la jurisprudence tient compte de l’âge de l’assuré au moment où l’exigibilité de l’exercice d’une activité adaptée a été constatée (ATF 143 V 431 consid. 4.5.1 ; 138 V 457 consid. 3.3 ; TF 9C_839/2017 du 24 avril 2017 consid. 6.2). Elle reconnaît en général qu’à partir de 60 ans, il convient de se poser la question de savoir si, compte tenu des autres circonstances du cas particulier, il existe encore une possibilité réaliste de mise en valeur de la capacité résiduelle de travail sur le marché concret (cf. TF 9C_918/2008 du 28 mai 2009 consid. 4.2.2 ; 9C_437/2008 du 19 mars 2009 consid. 4.2 et 4.4) ; avant cet âge, il n’y a pas lieu de considérer qu’il existe des difficultés de réinsertion sur le marché du travail du seul fait de l’âge (cf. TF 9C_839/2017 du 24 avril 2017 consid. 6.2 ; 9C_789/2016 du 5 avril 2017 consid. 5.2 ; TF 9C_355/2011 du 8 novembre 2011 consid. 4.4 ; 9C_578/2009 du 20 décembre 2009 consid. 4.3.2). Dans tous les cas, le caractère inexploitable de la capacité de travail résiduelle ne sera admis que lorsque l'activité raisonnablement exigible n'est possible que sous une forme si limitée que le marché du travail équilibré ne la connaît pratiquement pas ou qu'elle ne serait possible qu'au prix d'une concession irréaliste de la part d'un employeur moyen et que la recherche d'un emploi correspondant apparaît donc d'emblée comme exclue (TF 9C_366/2021 du 3 janvier 2022 consid. 4.2 ; 9C_644/2019 du 20 janvier 2020 consid. 4.2 et les références citées). En effet, le marché du travail équilibré est une notion théorique, qui présuppose un équilibre entre l'offre et la demande de main-d'œuvre, d'une part, et un marché du travail structuré (permettant d'offrir un éventail d'emplois diversifiés, au regard des sollicitations tant intellectuelles que physiques), d'autre part (TF 8C_772/2020 du 9 juillet 2021 consid. 3.3)</w:t>
      </w:r>
    </w:p>
    <w:p>
      <w:r>
        <w:t>- 28 - b) En l’occurrence, il a été retenu que le recourant présente depuis août 2019 une capacité de travail de 70 % dans son activité habituelle, respectivement de 100 % dans une activité adaptée, différence qui justifie un changement d’activité. En avril 2021, le recourant était âgé de 58 ans, âge qui ne constitue pas en soi un obstacle à toute réinsertion. Or, les limitations fonctionnelles retenues, d’ordre purement rhumatologiques, peuvent être qualifiées de modérées. Elles permettent au recourant d’accomplir toutes sortes de travaux légers. Dans sa fiche de calcul du 9 juin 2020, l’intimé a mentionné les possibilités existant dans le domaine industriel léger, tels que montage, contrôle et surveillance d’un processus de production, ouvrier à l’établi, ouvrier dans le conditionnement comme opérateur sur machines conventionnelles, aide-administratif ou vente simple. Il en existe encore bien d’autres, dont l’énumération serait fastidieuse et qui concernent bien plus de domaines que les quelques métiers cités dans le reportage télévisé auquel se réfère le recourant. Ces activités ne requièrent pas de formation particulière et sont donc immédiatement accessibles pour une personne disposant, comme le recourant, d’une formation certifiée de mécanicien. L’intéressé a d’ailleurs déjà, par le passé, changé spontanément de domaine d’activité afin de ménager son dos. Ainsi, il apparaît que l’on peut exiger du recourant qu’il change d’activité professionnelle au profit d’une activité adaptée à ses limitations fonctionnelles. On précisera cependant que l'exigibilité de la réinsertion dans une nouvelle activité n'oblige pas, en tant que telle, l’assuré à quitter un emploi en cours ou à renoncer à exercer dans son domaine d’activité. Il demeure en effet libre de poursuivre son activité ; dans ce cas, toutefois, il ne saurait prétendre à des prestations à la charge de l'assurance-invalidité (TF 9C_36/2018 du 17 mai 2018 consid. 4.3.2).</w:t>
      </w:r>
    </w:p>
    <w:p>
      <w:r>
        <w:rPr>
          <w:b/>
        </w:rPr>
        <w:t>E. 7.2</w:t>
      </w:r>
    </w:p>
    <w:p>
      <w:r>
        <w:t>; TFA I 339/02 du 2 avril 2003 consid. 4.3.3). c)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w:t>
      </w:r>
    </w:p>
    <w:p>
      <w:r>
        <w:rPr>
          <w:b/>
        </w:rPr>
        <w:t>E. 8</w:t>
      </w:r>
    </w:p>
    <w:p>
      <w:r>
        <w:t>Chez les assurés actifs, le degré d’invalidité doit être déterminé sur la base d’une comparaison des revenus avec et sans invalidité (art. 16 LPGA ; cf. consid. 3b ci-dessus).</w:t>
      </w:r>
    </w:p>
    <w:p>
      <w:r>
        <w:t>- 29 - a)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sa santé, en tenant compte de l’évolution des salaires (ATF 144 I 103 consid. 5.3 ; 134 V 322 consid. 4.1 ; TF 9C_719/2015 du 3 juin 2016 consid. 6.2). On se fondera, sur ce point, sur les renseignements communiqués par l’employeur ou, à défaut, sur l’évolution des salaires nominaux (cf. TF 9C_192/2014 du 23 septembre 2014 consid. 4.2). 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(OFS) dans l’Enquête suisse sur la structure des salaires (ESS ; ATF 143 V 295 consid. 2.2 ; 129 V 472 consid. 4.2.1). aa)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w:t>
      </w:r>
    </w:p>
    <w:p>
      <w:r>
        <w:t>- 30 - et l’année déterminante pour l’évaluation de l’invalidité (ATF 129 V 408 consid. 3.1.2). Cette année correspond en principe à celle lors de laquelle le droit éventuel à la rente prend naissance (ATF 134 V 322 consid. 4.1 ; 129 V 222). bb)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En effet,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L’étendue de l’abattement (justifié dans un cas concret) constitue une question typique relevant du pouvoir d’appréciation, qui ne doit être revue que s’il a été exercé de manière contraire au droit, relevant de l’excès positif ou négatif de ce pouvoir d’appréciation ou d’un abus de celui-ci, notamment si des critères inappropriés ont été retenus, si des circonstances pertinentes n’ont pas été prises en compte, si un examen complet des circonstances n’a pas été fait ou s’il n’a pas été fait usage de critères objectifs (TF 9C_673/2010 du 31 mars 2011 consid. 4.1). cc) La jurisprudence considère cependant que, dans l’ESS, le niveau de qualification correspondant aux activités simples et répétitives dans les secteurs de la production et des services recouvre un large éventail d’activités variées et non qualifiées, n’impliquant pas de formation particulière et compatibles avec des limitations fonctionnelles peu contraignantes. En conséquence, il s’applique en principe à tous les assurés qui ne peuvent plus accomplir leur ancienne activité parce qu’elle est physiquement trop astreignante pour leur état de santé, mais qui conservent néanmoins une capacité de travail importante dans des</w:t>
      </w:r>
    </w:p>
    <w:p>
      <w:r>
        <w:t>- 31 - travaux légers, de sorte que ce salaire statistique est suffisamment représentatif de ce que les intéressés seraient en mesure de réaliser en tant qu’invalides (cf. TF 9C_444/2010 du 20 décembre 2010 consid. 2.3 et les références citées ; TFA I 339/02 du 2 avril 2003 consid. 4.3.3). Par ailleurs, est seule déterminante la question de savoir dans quelle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 uniquement s’il pourrait encore exploiter économiquement sa capacité de travail résiduelle lorsque les places de travail disponibles correspondent à l’offre de la main d’œuvre (TF 9C_329/2015 du 20 novembre 2015 consid.</w:t>
      </w:r>
    </w:p>
    <w:p>
      <w:r>
        <w:rPr>
          <w:b/>
        </w:rPr>
        <w:t>E. 9</w:t>
      </w:r>
    </w:p>
    <w:p>
      <w:r>
        <w:t>En l’espèce, le recourant ne conteste pas les chiffres retenus par l’intimé dans son calcul du degré d’invalidité. Il critique essentiellement le mode de calcul, en se fondant sur les informations qu’il a retenues lors du visionnement d’un reportage télévisé. Cependant, l’intimé ne pouvait s’écarter des principes tirés de la loi et de la jurisprudence applicables au moment où il a statué. Tel est également le cas pour la Cour des assurances sociales du Tribunal cantonal, nonobstant le fait que certains juristes ou auteurs de doctrine sont d’avis que le système actuel aurait pour conséquence d’exclure certaines personnes du droit aux prestations. Il convient en outre de relever que le recourant perd de vue le fait qu’une capacité de travail entière a été retenue dans une activité adaptée aux limitations fonctionnelles liées aux atteintes rhumatologiques. Le calcul du droit aux prestations n’a donc pas été</w:t>
      </w:r>
    </w:p>
    <w:p>
      <w:r>
        <w:t>- 32 - effectué sur la base d’une capacité de travail de 70 % dans l’activité habituelle. Cependant, il y a lieu de relever que l’intimé a correctement posé le calcul du degré d’invalidité, en prenant comme source du revenu sans invalidité le revenu cotisant obtenu par l’assuré en 2017, indexé à 2018 et 2019, respectivement le salaire moyen dans les secteurs de service et de production déterminé par l’ESS 2018, TA 1_skill_level niveau de compétence 1 pour les hommes, indexé à 2019, adapté au temps de travail usuel en 2019, au taux de 100 % et sans baisse de rendement, ce que le recourant ne conteste pas. L’intéressé critique en revanche l’absence de réduction supplémentaire, faisant valoir qu’un abattement est nécessaire en raison de son âge et de ses limitations fonctionnelles. Il ne peut toutefois être suivi sur ce point. En effet, comme déjà dit, les limitations fonctionnelles déterminées par le Dr D.________ et les experts de L.________ sont d’intensité modérée. Elles ne dépassent ainsi pas ce que la jurisprudence a déterminé comme compatible avec les activités visées par le tableau TA1_skill_level de l’ESS. Ainsi, bien que la reprise d’une activité lucrative à plein temps et à plein rendement soit exigible, les limitations fonctionnelles ont été suffisamment prises en compte dans le choix du type d’activité adaptée, de sorte qu’elles ne doivent pas être retenues une seconde fois dans la détermination de l’abattement. Quant à l’âge, comme déjà dit, l’assuré était âgé de 58 ans en 2021 (date de la décision ; TF 9C_1030/2008 consid. 3). Cette circonstance justifie l’application d’un abattement de 5 % (cf. TF 9C_677/2015 du 25 janvier 2016 consid. 3.4 ; TF 9C_603/2012 du 20 avril 2011 consid. 6.4), ce qui porte le revenu avec invalidité à 64'700 fr. 23 et le degré d’invalidité à 15.22 %. Ce degré d’invalidité est insuffisant pour ouvrir le droit à des prestations de l’assurance-invalidité, étant au surplus relevé qu’aucun droit à une rente ne serait ouvert même en appliquant l’abattement maximum admissible de 25 % (soit un revenu avec invalidité de 51'079 fr. 13 et un degré d’invalidité de 33.54 %).</w:t>
      </w:r>
    </w:p>
    <w:p>
      <w:r>
        <w:t>- 33 -</w:t>
      </w:r>
    </w:p>
    <w:p>
      <w:r>
        <w:rPr>
          <w:b/>
        </w:rPr>
        <w:t>E. 10</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Il n’y a pas lieu d’allouer de dépens à la partie recourante, qui n’obtient pas gain de cause (art. 61 let. g LPGA).</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