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ZD21.018091 vom 1. November 2021</w:t>
      </w:r>
    </w:p>
    <w:p>
      <w:r>
        <w:t>VD Tribunal cantonal, 2021-11-01, FR</w:t>
      </w:r>
    </w:p>
    <w:p>
      <w:r>
        <w:rPr>
          <w:b/>
        </w:rPr>
        <w:t xml:space="preserve">Quelle: </w:t>
      </w:r>
      <w:r>
        <w:t>https://mcp.opencaselaw.ch/entscheid/vd_gerichte_ZD21.018091</w:t>
      </w:r>
    </w:p>
    <w:p>
      <w:r>
        <w:t>FR: VD_GERICHTE ZD21.018091 du 1 novembre 2021</w:t>
      </w:r>
    </w:p>
    <w:p>
      <w:r>
        <w:t>IT: VD_GERICHTE ZD21.018091 del 1 novembre 2021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Au vu de ce qui précède, le recours doit être rejeté et la décision attaquée confirmée.</w:t>
      </w:r>
    </w:p>
    <w:p>
      <w:r>
        <w:t>- 24 - a) La procédure de recours en matière de contestations portant sur l’octroi ou le refus de prestations de l’assurance-invalidité est soumise à des frais de justice (art. 69 al. 1bis LAI). Il convient de les fixer à 600 fr. et de les mettre à la charge de la partie recourante, vu le sort du recours. b) Il n’y a pas lieu d’allouer de dépens à la partie recourante, qui n’obtient pas gain de cause (art. 61 let. g LPGA ; 55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