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ZD21.017602 vom 23. Mai 2022</w:t>
      </w:r>
    </w:p>
    <w:p>
      <w:r>
        <w:t>VD Tribunal cantonal, 2022-05-23, FR</w:t>
      </w:r>
    </w:p>
    <w:p>
      <w:r>
        <w:rPr>
          <w:b/>
        </w:rPr>
        <w:t xml:space="preserve">Quelle: </w:t>
      </w:r>
      <w:r>
        <w:t>https://mcp.opencaselaw.ch/entscheid/vd_gerichte_ZD21.017602</w:t>
      </w:r>
    </w:p>
    <w:p>
      <w:r>
        <w:t>FR: VD_GERICHTE ZD21.017602 du 23 mai 2022</w:t>
      </w:r>
    </w:p>
    <w:p>
      <w:r>
        <w:t>IT: VD_GERICHTE ZD21.017602 del 23 maggio 2022</w:t>
      </w:r>
    </w:p>
    <w:p>
      <w:pPr>
        <w:pStyle w:val="Heading2"/>
      </w:pPr>
      <w:r>
        <w:t>Erwägungen</w:t>
      </w:r>
    </w:p>
    <w:p>
      <w:r>
        <w:rPr>
          <w:b/>
        </w:rPr>
        <w:t>E. 3</w:t>
      </w:r>
    </w:p>
    <w:p>
      <w:r>
        <w:t>Des modifications législatives et réglementaires sont entrées en vigueur au 1er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w:t>
      </w:r>
    </w:p>
    <w:p>
      <w:r>
        <w:t>- 13 -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t>- 14 -</w:t>
      </w:r>
    </w:p>
    <w:p>
      <w:r>
        <w:rPr>
          <w:b/>
        </w:rPr>
        <w:t>E. 7</w:t>
      </w:r>
    </w:p>
    <w:p>
      <w:r>
        <w:t>En vertu de la jurisprudence fédérale, tant les affections psychosomatiques que toutes les affections psychiques, ainsi que les dépendances, doivent en principe faire l’objet d’une procédure probatoire structurée au sens de l’ATF 141 V 281 (ATF 143 V 418 consid. 6 et 7 ;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rPr>
          <w:b/>
        </w:rPr>
        <w:t>E. 8</w:t>
      </w:r>
    </w:p>
    <w:p>
      <w:r>
        <w:t>a) En l’espèce, la précédente décision rendue par l’intimé le 3 mai 2016 reposait sur les conclusions médicales communiquées par le H.________ aux termes du rapport d’expertise pluridisciplinaire du 1er octobre 2015. Les experts avaient fait part de leur évaluation consensuelle comme suit (cf. rapport précité, p. 16 et 17) : « […] Situation actuelle et conclusions Sur le plan de la médecine interne, Madame B.________ présente une obésité de stade II, vraisemblablement responsable de l'hypertension artérielle constatée lors de l'expertise. Il n'y a pas de pathologie influençant la capacité de travail. Sur le plan rhumatologique, les plaintes de Madame B.________ sont restées inchangées au cours des années concernant des arthralgies, des rachialgies et des myalgies diffuses associées à une fatigue chronique et des troubles du sommeil (se sont péjorées, à ses dires, dès l'automne 2011), ce qui a entraîné une incapacité de travail dans son activité professionnelle d'auxiliaire de santé qu'elle exerçait à 50 % […]. L'examen du rachis et des articulations périphériques est dans les limites de la norme, hormis un status post-arthrodèse du premier rayon des pieds des deux côtés (correction d'une anomalie congénitale de position des orteils) Le status neurologique est dans les limites de la norme. On relève la présence de 11/18 signes de fibromyalgie typiques associés à une palpation douloureuse des masses musculaires des membres supérieurs et des membres inférieurs des deux côtés. En l'absence de tout élément anamnestique, clinique ou biologique en faveur d'une étiologie inflammatoire/immunologique/ endocrinienne, nous retenons chez Madame B.________ le diagnostic de fibromyalgie.</w:t>
      </w:r>
    </w:p>
    <w:p>
      <w:r>
        <w:t>- 15 - En conclusion, Madame B.________ est apte à exercer toute activité professionnelle à 100 % et sans perte de rendement, y compris son ancienne activité professionnelle d'auxiliaire de santé polyvalente. Sur le plan psychique, Madame B.________ se plaint d'une symptomatologie dépressive (apparue la première fois en 2001 et s'étant installée depuis 2012, mais de manière légère) et anxieuse. […]. L'examen psychiatrique montre une femme obèse, légèrement déprimée. Nous ne constatons pas de ralentissement psychomoteur ni de troubles cognitifs. Le contenu de la pensée est fixé sur ses douleurs chroniques et la fatigabilité qui l'empêchent de vivre normalement. Les dosages plasmatiques du citalopram et de la trazodone montrent des taux légèrement en dessous de l'intervalle de référence. Il serait nécessaire de répéter les dosages pour s'assurer d'une observance thérapeutique optimale En conclusion, le tableau clinique est compatible avec les diagnostics d'anxiété généralisée (F41.1) existant depuis toujours, de trouble dépressif récurrent actuellement en rémission (F33.4) et de syndrome douloureux somatoforme persistant (F45.4). Contrairement à son psychiatre traitant nous ne retenons pas de trouble de personnalité. D'après ses dires, le syndrome douloureux est apparu dans la même période du décès de son grand-père L'expertisée vit des tensions dans son couple, son mari tolérant mal qu'elle ne travaille plus. Elle se décrit comme une battante, mais elle est anxieuse depuis toujours. La symptomatologie dépressive actuelle est légère et directement liée au syndrome douloureux, nous estimons qu'actuellement l'humeur dépressive est à mettre sur le compte du syndrome somatoforme. L'assurée estime que la psychothérapie lui fait du bien. D'après la grille d'examen en cas de troubles somatoformes découlant de l'arrêt du Tribunal Fédéral du 3 juin 2015, nous retiendrons qu'il existe des troubles psychiques, mais qui ne sont pas suffisamment sévères actuellement pour réduire ses ressources internes. Il n'y a pas de trouble de la personnalité entraînant de possibles comportements dysfonctionnels. On relève qu'elle n'a jamais eu de problèmes relationnels au sein des différents postes qu'elle a occupés, elle a réussi à faire face aux divers problèmes de son existence et elle n'a pas de dettes. Elle ne peut pas compter sur le soutien de son mari, avec qui elle a cependant un bon dialogue, mais a tout de même un réseau social soutenant. Ses plaintes sont cohérentes avec la description des activités quotidiennes, l'observance médicamenteuse semble correcte et elle bénéficie d'un suivi psychothérapeutique régulier. On notera aussi qu'elle a bien collaboré avec les trois experts. En conclusion, nous ne constatons pas de limitations fonctionnelles d'ordre psychiatrique, la capacité de travail est complète dans toute activité sans diminution de rendement. […] » b) La décision litigieuse a été établie, en tenant compte des conclusions des experts du P.________SA, lesquels ont admis une péjoration de la situation sur le plan rhumatologique. Les limitations fonctionnelles de ce registre compromettaient la capacité de travail dans l’activité</w:t>
      </w:r>
    </w:p>
    <w:p>
      <w:r>
        <w:t>- 16 - habituelle, mais non dans une activité adaptée, depuis le 30 septembre 2017. L’évaluation consensuelle du cas est notamment libellée en ces termes (cf. rapport d’expertise pluridisciplinaire du 9 février 2021, p. 4) : « […] Une IRM [réd. : imagerie par résonance magnétique] lombaire le 13.10.17 montre l'absence totale de spondylarthrite ankylosante, mais l'existence de trouble dégénératif disco-vertébral cervical et lombaire. Une nouvelle IRM lombaire et des sacro-iliaques réalisée le 26.09.18 confirmait l'atteinte dégénérative lombaire sur l'IRM lombaire, montrait que les sacro-iliaques étaient parfaitement normales ou que les signes étaient uniquement dégénératifs, sans aucun signe de spondylarthrite ankylosante. Le bilan biologique était également normal. Néanmoins, le diagnostic de spondylarthrite ankylosante a été posé par sa rhumatologue, et elle a été traitée successivement par Méthotrexate, Enbrel et Simponi, à chaque fois pour des durées extrêmement courtes, dont les arrêts ont été motivés par des réactions aux points de piqûre. De plus, en décembre 2019, des radios des mains et des pieds n'ont montré que des atteintes dégénératives. Le diagnostic de spondylarthrite ankylosante peut être donc largement remis en question, devant l'absence totale de signes objectifs. Les critères internationaux ne sont pas respectés, HLA B27 négatif et de plus, tous les traitements qui ont été mis en place se sont révélés totalement inopérants. Il faut plutôt s'orienter vers une fibromyalgie, dont les points se sont révélés positifs et dont l'association avec troubles du sommeil et surtout une fatigue importante peuvent sceller le diagnostic. L'expertisée présente 13 points de fibromyalgie sur 19. Il existe également une asthénie que l'expertisée met volontiers en avant, associée à des troubles du sommeil. Les signes de sévérité, appréciés par le test SSA (asthénie, somnolence, troubles mnésiques) sont à 6/9 et les signes associés, représentés par le test SSB sont 1/3. La sévérité globale est donc de 7/12. Le retentissement de cette fibromyalgie est donc modéré. Les douleurs présentées par l'expertisée sont extrêmement riches et diffuses, sans spécificités, et les traitements engagés par les différents intervenants se sont toujours soldés par une inefficacité. Sur le plan de la médecine interne générale, il n'y a aucune atteinte incapacitante. Notons dans ses antécédents l'existence d'une obésité avec réalisation en avril 2019 d'une intervention par bypass avec perte pondérale de 40 kg, et une évolution favorable. L'expertisée relate une enfance marquée par la sévérité d'un père, ce qui a entraîné une légère atteinte narcissique. La personnalité de l'expertisée est néanmoins très forte, marquée par un certain perfectionnisme, mais sans véritable aspect pathologique. Le décès de son grand-père maternel en 2001 a été difficile. A partir de 2000 sont apparues des douleurs, qui vont se généraliser, entraînant un sentiment d'injustice et de colère, car l'expertisée avait le sentiment de ne pas être entendue et crue. En 2010, elle fera un épisode dépressif d'intensité moyenne, qui sera résolutif, mais elle présentera un nouvel épisode dépressif à partir de 2012, avec une accentuation de l'anxiété de janvier 2017 à octobre 2017, du fait d'une accentuation de la douleur et d'éléments anxieux. Depuis octobre 2017, il est noté une amélioration progressive de son état</w:t>
      </w:r>
    </w:p>
    <w:p>
      <w:r>
        <w:t>- 17 - clinique. Nous retenons donc un trouble dépressif récurrent, actuellement en rémission. […] »</w:t>
      </w:r>
    </w:p>
    <w:p>
      <w:r>
        <w:rPr>
          <w:b/>
        </w:rPr>
        <w:t>E. 9</w:t>
      </w:r>
    </w:p>
    <w:p>
      <w:r>
        <w:t>a) Du point de vue de la médecine générale, l’experte du P.________SA, la Dre R.________, a rappelé que la recourante avait présenté une obésité. Tel n’était plus le cas, étant donné une perte pondérale de 40 kg à la suite d’une intervention par bypass en avril 2019. L’évolution était donc favorable, en l’absence de la plainte de la recourante à cet égard. La capacité de travail était par conséquent entièrement préservée (cf. rapport d’expertise de médecine générale, Annexe 2 du rapport du P.________SA du 9 février 2021, p. 23). b) Il n’y a pas lieu de douter des conclusions du P.________SA dans ce contexte, la recourante ne produisant aucun élément médical nouveau, ni ne faisant valoir aucun grief à l’égard de l’évaluation de médecine interne générale.</w:t>
      </w:r>
    </w:p>
    <w:p>
      <w:r>
        <w:rPr>
          <w:b/>
        </w:rPr>
        <w:t>E. 10</w:t>
      </w:r>
    </w:p>
    <w:p>
      <w:r>
        <w:t>a) Il en va de même sur le plan psychiatrique, investigué spécifiquement par le Dr S.________, pour le compte du P.________SA. Ce spécialiste a retenu un trouble dépressif récurrent en rémission, rapportant les éléments suivants (cf. rapport d’expertise psychiatrique, Annexe 3 du rapport du P.________SA du 9 février 2021, p. 30) : « […] Nous retenons un trouble dépressif récurrent : existence de plusieurs épisodes dépressifs, dont un en 2001, probablement en rapport avec le décès de son grand-père maternel qui était très important à ses yeux mais il nous est difficile de dire s'il s'agissait d'un épisode dépressif avéré. En revanche, l'épisode de 2010 ne laisse aucun doute, l'épisode dépressif était d'intensité moyenne, malgré l'existence d'idées suicidaires – il n'y a pas eu de scénarisation précise ni aucune intention de passage à l'acte. Il n'y a pas eu d'éléments psychotiques associés ni de sentiment majeur de culpabilité. Cet épisode s'est résolu de manière complète mais à partir de 2012, on note la réapparition d'un épisode dépressif, qui a duré jusqu'en octobre 2017, date de fin de son activité professionnelle. Depuis, nous ne notons pas d'éléments en faveur d'un épisode dépressif puisque l'expertisée ne présente pas de manque d'intérêt, de ralentissement psychomoteur, de tristesse d'humeur ni d'idées suicidaires. L'épisode actuel est donc en rémission. Nous ne retenons pas d'anxiété généralisée, car malgré l'existence d'une pesanteur gastrique, il n'est pas noté de sensation de mort imminente, de dépersonnalisation, de manifestations neurovégétatives. De janvier à octobre 2017, surtout au moment de</w:t>
      </w:r>
    </w:p>
    <w:p>
      <w:r>
        <w:t>- 18 - la reprise de l'activité professionnelle, on a pu observer une accentuation de l'anxiété. Il est noté dans le rapport d'expertise du 15.06.2015 l'existence d'un épisode anxieux avec une appréhension à sortir. Cet élément ne peut être retenu comme une véritable agoraphobie car actuellement l'expertisée peut sortir seule de chez elle sans aucune difficulté. Nous ne retenons pas de trouble panique : pas de crises d'angoisse aiguës accompagnées de manifestations neurovégétatives. Nous ne retenons pas de trouble somatoforme : pas de douleurs inexpliquées. Pas de douleurs prégnantes, évidentes, pas d'exagération de la douleur. La personnalité de l'expertisée ne peut être retenue comme anankastique, et nous sommes encore en accord avec l'expertise du 15.06.2015 qui ne reconnaît pas ce trouble de personnalité. Certes, il existe un certain perfectionnisme, mais celui-ci n'entrave pas l'achèvement des tâches. Il n'existe pas de véritable scrupule, pas de véritable rituel ni de comptage, ce qui élimine un trouble obsessionnel compulsif associé. La personnalité de l'expertisée ne peut être considérée comme pathologique. Nous ne pouvons parler de trouble de personnalité paranoïaque : pas d'hypertrophie du moi, de tendance procédurière, de méfiance excessive. Nous ne retenons pas de personnalité dépendante, ou évitante, puisqu'il n'existe pas de crainte excessive de la critique, de tendance à la fuite, ou de difficultés à prendre des décisions importantes. Nous ne retenons pas de trouble de personnalité émotionnellement labile, puisque l'expertisée ne présente pas de relation instable, de tendance explosive. L'expertisée a tendance à être perfectionniste mais cela s'explique par le fait que dans son enfance, elle a été victime de nombreuses critiques de la part de son père et qu'elle a voulu être par la suite irréprochable. Nous ne pouvons donc parler de véritable personnalité obsessionnelle. Nous ne retenons pas d'abus nocifs en alcool, ou de dépendance en produits toxiques, car le taux de CDT est à 0,8%. Par ailleurs, la recherche de toxiques dans les urines est négative. Nous retenons un antécédent d'hyperphagie associée à d'autres perturbations psychologiques. Il existe en effet une obésité consécutive à des douleurs et à des événements stressants comme des deuils. Il n'existe pas actuellement d'hyperphagie. Nous sommes en accord avec le rapport du 03.02.2014 de la Dre G.________ lorsqu'elle évoque un trouble dépressif récurrent et nous avons évoqué les raisons pour lesquelles nous ne retenons pas un trouble de personnalité anankastique. Nous sommes aussi d'accord avec le rapport d'expertise du H.________ en date du 15.06.2015. Le récit biographique est tout à fait identique. Nous sommes en accord avec l'absence de trouble de personnalité. En revanche, nous ne retenons pas le diagnostic d'anxiété généralisée et nous avons expliqué pourquoi. […] » L’expert a par ailleurs relevé qu’un traitement antidépresseur ne se justifiait pas en l’état. Il pourrait être réintroduit, de même que le suivi psychothérapeutique, en cas de survenance d’un nouvel épisode dépressif. Au surplus, la recourante était, à son avis, dotée de ressources</w:t>
      </w:r>
    </w:p>
    <w:p>
      <w:r>
        <w:t>- 19 - personnelles (adaptabilité, confiance en soi et persévérance) et d’un entourage familial soutenant (cf. ibidem, p. 31). b) Les conclusions de l’expert, quant à l’exigibilité de l’exercice d’une activité lucrative à plein temps, en parfaite congruence avec les résultats de son examen, peuvent donc être suivies. La recourante ne soulève au demeurant aucun argument à l’encontre de cette évaluation et n’a produit aucune pièce médicale de ce registre. On notera également que la Dre G.________ n’a pas fourni de rapport médical dans le contexte de la nouvelle demande de prestations de la recourante. On relèvera enfin que le rapport du Dr S.________ satisfait les exigences jurisprudentielles eu égard à l’analyse du degré de gravité de l’atteinte psychiatrique et à des ressources à disposition de la recourante (cf. consid. 7 supra).</w:t>
      </w:r>
    </w:p>
    <w:p>
      <w:r>
        <w:rPr>
          <w:b/>
        </w:rPr>
        <w:t>E. 11</w:t>
      </w:r>
    </w:p>
    <w:p>
      <w:r>
        <w:t>a) Le volet rhumatologique, analysé au sein du P.________SA par le Dr T.________, est en revanche l’objet principal des griefs de la recourante, appuyée par sa rhumatologue traitante , la N.________. Le Dr T.________ a justifié sa position diagnostique notamment comme suit (cf. rapport d’expertise rhumatologique, Annexe 1 du rapport d’expertise du P.________SA du 9 février 2021, p. 14 et 15) : « […] Il s'agit d'une expertisée qui présente des douleurs diffuses depuis de très nombreuses [années], associées à une asthénie importante qui est souvent mise en avant. La pathologie actuelle de l'expertisée ne répond pas aux critères internationaux pour une spondylarthropathie. Que ce soient les critères de New York 1984, les critères de spondylarthrite d'Amor, les critères de l'ESSG ou les critères de l'ASAS. Il n'a pas été constaté d'augmentation de volume des articulations. Il n'y a pas non plus de limitation importante de la mobilité lombaire puisque la distance main-sol est à 12 cm et le test de Schober à + 4 cm et que l'ampliation thoracique est également à + 4 cm. Les douleurs nocturnes sont présentes, uniquement aux changements de position et le dérouillage matinal est entre 10 et 20 minutes ce qui est court pour une spondylarthrite. Les IRM lombaire ou des sacro-iliaques n'ont pas montré de signes d'inflammation à ce niveau. Il n'y a pas non plus de synovite clinique ou d'atteinte sur les radios des mains. L'expertisée est HLA B 27 négatif. Je me permets de préciser que le test de BASDAI ou de BASFI ne sont pas des tests diagnostiques mais des tests d'évolutivité. Ils</w:t>
      </w:r>
    </w:p>
    <w:p>
      <w:r>
        <w:t>- 20 - peuvent être utilisés pour toutes pathologies rachidiennes, y compris mécaniques. […] Les douleurs présentées par l'expertisée sont extrêmement riches et diffuses, sans spécificités, et les traitements engagés par les différents intervenants se sont toujours soldés par une inefficacité. Il est nécessaire de patienter pour apprécier l'efficacité de l'infiltration de l'épaule droite que l'expertisée vient de recevoir la veille de cette expertise. Il n'y a pas de traitement spécifique de la fibromyalgie. On peut lui proposer une physiothérapie, préférentiellement en piscine, qui permettra également de traiter les atteintes dégénératives rachidiennes. On peut lui proposer des antidouleurs comme les antidépresseurs tricycliques, la Gabapentine, le Pregabaline et enfin une neurostimulation transcutanée type TENS. Il n'y a pas de traitement à lui proposer pour son poignet droit et ses gros orteils. […] Il existe une cohérence entre les constatations objectives cliniques et les constatations objectives radiologiques. L'incohérence vient de l'importance des plaintes, extrêmement diffuses, et de l'examen clinique qui est plutôt rassurant mais également des capacités de l'expertisée dans la vie quotidienne qui sont importantes. Finalement les plaintes sont à 6/10, alors que l'expertisée ne prend plus de traitement spécifique de la spondylarthrite. […] » b) De son côté, la Dre N.________ a maintenu le diagnostic de spondylarthropathie inflammatoire et s’est exprimée en ces termes dans un rapport au mandataire de la recourante du 29 juin 2021 : « […] 1. Je suis Madame B.________ depuis le 27.09.2017 pour une spondylarthropathie inflammatoire. 2. J’ai effectivement constaté une aggravation de son état de santé depuis 2016 avec une accentuation importante des douleurs qu’elle présente au niveau de diverses enthèses, acutisation de son asthénie en raison de mauvaises nuits liées à la rythmicité inflammatoire de la symptomatologie algique. D’importantes douleurs de l’épaule gauche, apparues dès 2019 ont été évaluées par une IRM objectivant une arthropathie acromio-claviculaire avec synovite, bursite, conflit sous-acromio-deltoïdien en présence d’une enthésopathie calcifiée sur l’insertion distale du supra-épineux et d’une tendinopathie du long chef du biceps et du sous-scapulaire. La multiplicité des sites algiques fait que j’ai proposé à Madame B.________ la réalisation prochaine d’un examen couplant une scintigraphie osseuse avec un spect-CT qui nous permettra d’objectiver précisément la situation actuelle. 3. A mon sens actuellement, il n’existe pas de capacité de travail résiduelle dans une activité adaptée […] ». L’examen préconisé par la Dre N.________ a eu lieu le</w:t>
      </w:r>
    </w:p>
    <w:p>
      <w:r>
        <w:rPr>
          <w:b/>
        </w:rPr>
        <w:t>E. 12</w:t>
      </w:r>
    </w:p>
    <w:p>
      <w:r>
        <w:t>a) Pour évaluer le degré d'invalidité,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w:t>
      </w:r>
    </w:p>
    <w:p>
      <w:r>
        <w:t>- 23 - (ATF 114 V 310 consid. 3a et les références) et la méthode extraordinaire de comparaison des revenus (ATF 128 V 29 ; voir également TF 9C_236/2009 du 7 octobre 2009 consid. 3 et 4, in : SVR 2010 IV n° 11 p. 35).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9C_329/2015 du 20 novembre 2015 consid. 7.2 et 9C_496/2015 du 28 octobre 2015 consid. 3.2). c)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w:t>
      </w:r>
    </w:p>
    <w:p>
      <w:r>
        <w:t>- 24 - de travail résiduelle (TF 9C_774/2016 du 30 juin 2017 consid. 5.2 ; 9C_716/2014 du 19 février 2015 consid. 4.1 et 9C_1043/2008 du 2 juillet 2009 consid. 3.2). d)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w:t>
      </w:r>
    </w:p>
    <w:p>
      <w:r>
        <w:rPr>
          <w:b/>
        </w:rPr>
        <w:t>E. 13</w:t>
      </w:r>
    </w:p>
    <w:p>
      <w:r>
        <w:t>a)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b)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w:t>
      </w:r>
    </w:p>
    <w:p>
      <w:r>
        <w:t>- 25 -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w:t>
      </w:r>
    </w:p>
    <w:p>
      <w:r>
        <w:rPr>
          <w:b/>
        </w:rPr>
        <w:t>E. 14</w:t>
      </w:r>
    </w:p>
    <w:p>
      <w:r>
        <w:t>En l’espèce, on ne saurait suivre le raisonnement de la recourante qui considère que la jurisprudence fédérale pour les cas d’assurés proches de la retraite serait applicable à son cas. Ainsi que l’a souligné le Tribunal fédéral, cette jurisprudence n’entre en ligne de compte qu’à partir de l’âge de 60 ans environ. La recourante était âgée de 46 ans lorsque le P.________SA a déterminé qu’elle disposait d’une capacité résiduelle de travail préservée dans une activité adaptée (dès le 30 septembre 2017). Par ailleurs, on ne voit pas que ses restrictions fonctionnelles impliquant une activité dans un poste léger, tel que décrit par l’intimé (cf. évaluation de l’invalidité du 9 mars 2021), rendraient l’exigibilité inexploitable sur un marché du travail équilibré. On rappellera que la recourante est dotée d’une capacité de travail entière et que lesdites restrictions ont pour but essentiellement de ménager le rachis, ainsi que l’usage des membres supérieurs et inférieurs, ce qui n’exclut manifestement pas des activités administratives ou industrielles légères. L’intimé était donc légitimé à déterminer la perte de gain rencontrée concrètement par la recourante en procédant à une comparaison des revenus conforme aux exigences de l’art. 16 LPGA.</w:t>
      </w:r>
    </w:p>
    <w:p>
      <w:r>
        <w:rPr>
          <w:b/>
        </w:rPr>
        <w:t>E. 15</w:t>
      </w:r>
    </w:p>
    <w:p>
      <w:r>
        <w:t>a) S’agissant du revenu sans invalidité, il n’est pas contesté que la recourante aurait vraisemblablement poursuivi une activité d’auxiliaire de santé. Dans la mesure où son contrat de travail a été résilié par l’Association A.________ avec effet au 30 novembre 2014, il apparaît</w:t>
      </w:r>
    </w:p>
    <w:p>
      <w:r>
        <w:t>- 26 - adéquat de recourir aux données ressortant de l’ESS pour fixer le revenu déterminant. En l’occurrence, la ligne 86-88 du TA1 tirage_skill_level englobe les activités relatives à la santé humaine et à l’action sociale et correspond par conséquent au domaine de compétences de la recourante. En 2018, la ligne 86-88 du TA1 indique un salaire de référence de 4’860 fr. par mois, part au treizième salaire comprise, pour des femmes présentant un niveau de compétence 1. Ce montant doit être porté à 5'066 fr. par mois compte tenu de la durée hebdomadaire du travail de 41,7 heures dans les entreprises en 2018 (cf. Indicateurs du marché du travail 2019 ; TA2.1), ce qui représente en définitive un revenu annuel déterminant de 60'798 francs. b) Eu égard au revenu d’invalide, le montant mis en évidence par l’intimé au moyen du montant total du TA1 de l’ESS, compte tenu de la durée hebdomadaire du travail de 41,7 heures en 2018, ne prête pas flanc à la critique. De même, l’abattement de 10 % tient adéquatement compte de la situation personnelle de la recourante. En dépit de ses limitations fonctionnelles et de son âge, on observe en effet qu’elle est dotée d’une capacité de travail entière et qu’elle a démontré être capable d’adaptation pour se former à une nouvelle activité par le passé. Il n’y a donc pas lieu de remettre en question le montant de 49'213 fr. pris en considération au titre de revenu d’invalide. On ajoutera que les domaines d’activité mis en évidence par l’intimé apparaissent suffisamment ciblés pour exclure une motivation lacunaire à cet égard. c) Le degré d’invalidité de la recourante s’élève par conséquent à 19 % ([60’798 – 49’213 x 100] / 60’798), ce qui exclut le droit à une rente de l’assurance-invalidité (cf. art. 28 al. 2 aLAI). d) On observe, cela étant, à toutes fins utiles que le statut de la recourante n’a pas fait l’objet d’investigations, ni de griefs particuliers, alors même que celle-ci avait indiqué le 3 avril 2019 que sans atteinte à la santé, elle aurait envisagé une activité à un taux de 80 %. Si son statut devait être considéré comme celui d’une personne mixte (active à 80 %, cf. art. 28a al. 3 LAI : méthode mixte d’évaluation de l’invalidité), son</w:t>
      </w:r>
    </w:p>
    <w:p>
      <w:r>
        <w:t>- 27 - degré d’invalidité serait de toute façon inférieur au seuil de 40 % ouvrant le droit à une prestation sous forme de rente. Il n’y a pas lieu de revenir plus avant sur ce point en l’absence de tout grief. e) Eu égard enfin aux mesures professionnelles susceptibles d’entrer en ligne de compte (mesure d’aide au placement ; cf. art. 18 LAI), elles apparaissent en l’état dénuées de pertinence, la recourante s’estimant incapable d’exercer une activité lucrative.</w:t>
      </w:r>
    </w:p>
    <w:p>
      <w:r>
        <w:rPr>
          <w:b/>
        </w:rPr>
        <w:t>E. 16</w:t>
      </w:r>
    </w:p>
    <w:p>
      <w:r>
        <w:t>a) En conclusion, le recours, mal fondé, doit être rejeté et la décision de l’intimé du 9 mars 2021 confirmée. b) En dérogation à l’art. 61 let. a LPGA, la procédure de recours en matière de contestations portant sur l’octroi ou le refus de prestations de l’AI devant le tribunal cantonal des assurances est soumise à des frais de justice (art. 69 al. 1 LAI). En l’espèce, les frais judiciaires, bis arrêtés à 600 fr., sont imputés à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