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ZD21.016645 vom 13. April 2023</w:t>
      </w:r>
    </w:p>
    <w:p>
      <w:r>
        <w:t>VD Tribunal cantonal, 2023-04-13, FR</w:t>
      </w:r>
    </w:p>
    <w:p>
      <w:r>
        <w:rPr>
          <w:b/>
        </w:rPr>
        <w:t xml:space="preserve">Quelle: </w:t>
      </w:r>
      <w:r>
        <w:t>https://mcp.opencaselaw.ch/entscheid/vd_gerichte_ZD21.016645</w:t>
      </w:r>
    </w:p>
    <w:p>
      <w:r>
        <w:t>FR: VD_GERICHTE ZD21.016645 du 13 avril 2023</w:t>
      </w:r>
    </w:p>
    <w:p>
      <w:r>
        <w:t>IT: VD_GERICHTE ZD21.016645 del 13 aprile 2023</w:t>
      </w:r>
    </w:p>
    <w:p>
      <w:pPr>
        <w:pStyle w:val="Heading2"/>
      </w:pPr>
      <w:r>
        <w:t>Erwägungen</w:t>
      </w:r>
    </w:p>
    <w:p>
      <w:r>
        <w:rPr>
          <w:b/>
        </w:rPr>
        <w:t>E. 35</w:t>
      </w:r>
    </w:p>
    <w:p>
      <w:r>
        <w:t>%, ce qui n’ouvrait pas le droit à une rente d’invalidité. B. Par acte du 19 avril 2021, W.________, représenté par PROCAP Suisse, Service juridique, a recouru auprès de la Cour des assurances sociales du Tribunal cantonal à l’encontre de la décision du 4 mars 2021, concluant, principalement, à sa réforme dans le sens de l’octroi, à tout le moins, d’un quart de rente d’invalidité et, subsidiairement, à son annulation et au renvoi de la cause à l’office intimé pour instruction complémentaire et nouvelle décision dans le sens des considérants. En substance, il s’est plaint de la détermination de son taux d’invalidité, singulièrement de l’absence d’application d’un abattement de 10 %, à tout le moins, sur son revenu d’invalide statistique. Par décision du 23 avril 2021, le juge instructeur a mis le recourant au bénéfice de l’assistance judiciaire comprenant l’exonération d’avances, des frais judiciaires et de toute franchise mensuelle, dès le 19 avril 2021. Dans sa réponse du 20 mai 2021, l’OAI a conclu au rejet du recours. Répliquant le 10 juin 2021, le recourant a maintenu ses conclusions et réitéré ses arguments du 19 avril 2021.</w:t>
      </w:r>
    </w:p>
    <w:p>
      <w:r>
        <w:t>- 5 - Dupliquant le 23 juillet 2021, l’OAI a également confirmé ses conclusions du 20 mai 2021. En date du 7 septembre 2021, le recourant a indiqué ne pas avoir d’observations supplémentaires à faire valoir. Le 30 novembre 2021, le conseil du recourant a communiqué sa note d’honoraires.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w:t>
      </w:r>
    </w:p>
    <w:p>
      <w:r>
        <w:t>- 6 - transitoire, l'ancien droit reste en l'espèce applicable, au vu de la date de la décision litigieuse rendue le 4 mars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Le droit à la rente prend naissance au plus tôt à l’échéance d’une période de six mois à compter de la date à laquelle l’assuré a fait</w:t>
      </w:r>
    </w:p>
    <w:p>
      <w:r>
        <w:t>- 7 - valoir son droit aux prestations conformément à l’art. 29 al. 1 LPGA, mais pas avant le mois qui suit le 18e anniversaire de l’assuré (art. 29 al. 1 LAI). d/aa)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w:t>
      </w:r>
    </w:p>
    <w:p>
      <w:r>
        <w:t>- 8 -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w:t>
      </w:r>
    </w:p>
    <w:p>
      <w:r>
        <w:t>- 9 -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En l’occurrence, l’expertise du 24 juillet 2020 du Dr P.________ est pleinement probante, ce dont les parties ne disconviennent pas. En effet, l’expert psychiatre a effectué une anamnèse complète, a rencontré le recourant à deux reprises et a consciencieusement examiné son dossier. Il s’est également renseigné sur ses habitudes, sa vie quotidienne, ses loisirs et son emploi du temps. Le rapport d’expertise est au demeurant structuré et clair, et contient une analyse des différents indicateurs posés par la jurisprudence (cf. consid. 5c supra).</w:t>
      </w:r>
    </w:p>
    <w:p>
      <w:r>
        <w:t>- 10 - De même, l’expert a fait état de manière circonstanciée des plaintes du recourant, les a prises en compte dans son appréciation et les a confrontées à ses constatations objectives. Il a pris un soin minutieux à étayer les motifs l'ayant amené à retenir les diagnostics de trouble schizotypique (CIM-10 F 21 ; existant depuis 2006), ainsi que de troubles mentaux et troubles du comportement liés à l'utilisation de substances psychoactives multiples (cannabis et alcool) et syndrome de dépendance, actuellement abstinent au cannabis, consommation contrôlée de l'alcool (CIM-10 F 19.20), lesquels correspondent d’ailleurs aux diagnostics posés par la Dre S.________ dans son rapport du 12 février 2018. Il a finalement motivé de manière convaincante l’impact desdits diagnostics sur la capacité de travail du recourant et les limitations fonctionnelles qui en découlaient. b) L’expert a conclu que le recourant présentait une capacité de travail de 80 % dans son activité habituelle, laquelle s’étendait aux « domaines du registre manuel et praxique ». Cette qualification ne prête pas le flanc à la critique, compte tenu du fait que le recourant n’a pratiquement plus eu d’activité professionnelle depuis 2008 et qu’auparavant, il avait travaillé de manière irrégulière, ayant toutefois exercé les activités de vendeur de fruits et légumes auprès de la K.________ et d’employé de tri pour le compte de G.________. Plus important, l’expert a considéré que la capacité de travail du recourant était de 65 % dans une activité adaptée, eu égard à une incapacité de travail de 20 % causée par ses atteintes psychiatriques et à une diminution de rendement supplémentaire liée à ses limitations fonctionnelles. c) Rien ne justifie en l’espèce de s’écarter de ses conclusions convaincantes, lesquelles ne sont d’ailleurs pas remises en question par les parties.</w:t>
      </w:r>
    </w:p>
    <w:p>
      <w:r>
        <w:t>- 11 - d) Par ailleurs, il n’est pas contestable de retenir, au degré de la vraisemblance prépondérante applicable en droit des assurances sociales (cf. ATF 144 V 427 consid. 3.2 ; 139 V 176 consid. 5.3 et les références citées), que les atteintes à la santé du recourant sont apparues entre les années 2006 et 2008, tel que cela ressort de l’avis SMR du 29 septembre 2020 du Dr D.________. Nonobstant le fait que cette appréciation est à l’avantage du recourant, elle ne s’oppose pas à l’appréciation de l’expert psychiatre, lequel a estimé que le trouble schizotypique était présent depuis 2006. Aussi, l’intimé pouvait valablement considérer que les atteintes incapacitantes du recourant existaient depuis la fin de l’année 2008, soit à la période où il avait mis fin à ses rapports de travail avec G.________ et qui avait marqué sa rupture avec la vie active. e) Par conséquent, il convient d’admettre que le recourant a présenté une capacité de travail de 65 % dans une activité adaptée depuis le mois de décembre 2008. 7. a) Compte tenu de ce qui précède, le droit à une rente d’invalidité doit d’emblée être nié au recourant, dans la mesure où un tel droit présuppose que la personne assurée a présenté une incapacité de travail d'au moins 40 % en moyenne durant une année sans interruption notable (art. 28 al. 1 let. b LAI). Or, l’incapacité de travail du recourant ne s’est élevée, au maximum, qu’à 20 % dans l’activité habituelle et à 35 % dans une activité adaptée, ceci à compter du mois de décembre 2008 et sans modification depuis lors. Le délai de carence d’une année avec une incapacité de travail de 40 % au moins n’a ainsi jamais été atteint. Il est précisé, à toutes fins utiles, qu’on ne parviendrait pas à un résultat différent si l’on devait retenir, comme l’expert psychiatre, que les troubles du recourant existaient depuis le mois d’avril 2017.</w:t>
      </w:r>
    </w:p>
    <w:p>
      <w:r>
        <w:t>- 12 - b) Il résulte de ces constatations qu’il n’y a pas lieu d’examiner plus avant les griefs soulevés par le recourant en relation avec la détermination de son taux d’invalidité. Par surabondance, il y a lieu de relever que le degré d’invalidité de 35 % arrêté par l’intimé n’est pas critiquable. En effet, dans un cas comme celui-ci, il était légitime de se référer aux mêmes données statistiques pour déterminer à la fois le revenu sans et avec invalidité du recourant (soit, en l’occurrence, à l’ESS pour l’année 2018 [eu égard au dépôt de la demande de prestations en date du 24 août 2017 ; cf. art. 29 al. 1 et 3 LAI], tableaux TA1_skill_level, tous secteurs confondus, niveau de compétence 1, homme). De surcroît, ni le taux d’occupation partiel de 80 % du recourant (cf. ATF 126 V 75 consid. 5a/cc ; TF 9C_18/2022 du 9 novembre 2022 consid. 3.2 ; TF 9C_10/2019 du 29 avril 2019 consid. 5.2 et les références), ni sa baisse de rendement (cf. TF 8C_211/2018 du 8 mai 2018 consid. 4.4 et les références), pas plus que ses limitations fonctionnelles (lesquelles ont déjà été prises en compte pour fixer la capacité de travail exigible) ne justifiaient d’appliquer un abattement supplémentaire sur le revenu statistique avec invalidité du recourant. 8. a) En définitive, le recours est rejeté et, partant, la décision querellée est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w:t>
      </w:r>
    </w:p>
    <w:p>
      <w:r>
        <w:t>- 13 - faire (art. 122 al. 1 et 123 du code de procédure civile du 19 décembre 2008 [CPC ; RS 272], applicables par renvoi de l’art. 18 al. 5 LPA-VD).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