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ZD21.016261 vom 2. Dezember 2021</w:t>
      </w:r>
    </w:p>
    <w:p>
      <w:r>
        <w:t>VD Tribunal cantonal, 2021-12-02, FR</w:t>
      </w:r>
    </w:p>
    <w:p>
      <w:r>
        <w:rPr>
          <w:b/>
        </w:rPr>
        <w:t xml:space="preserve">Quelle: </w:t>
      </w:r>
      <w:r>
        <w:t>https://mcp.opencaselaw.ch/entscheid/vd_gerichte_ZD21.016261</w:t>
      </w:r>
    </w:p>
    <w:p>
      <w:r>
        <w:t>FR: VD_GERICHTE ZD21.016261 du 2 décembre 2021</w:t>
      </w:r>
    </w:p>
    <w:p>
      <w:r>
        <w:t>IT: VD_GERICHTE ZD21.016261 del 2 dicembre 2021</w:t>
      </w:r>
    </w:p>
    <w:p>
      <w:pPr>
        <w:pStyle w:val="Heading2"/>
      </w:pPr>
      <w:r>
        <w:t>Erwägungen</w:t>
      </w:r>
    </w:p>
    <w:p>
      <w:r>
        <w:rPr>
          <w:b/>
        </w:rPr>
        <w:t>E. 29</w:t>
      </w:r>
    </w:p>
    <w:p>
      <w:r>
        <w:t>janvier 2021 aux termes duquel le Dr W.________, radiologue, concluait à une dessiccation discale protrusive en L4-L5 et L5-S1 associée à des rétrécissements foraminaux bilatéraux modérés sur ces deux étages, ainsi qu’à une arthrose interfacettaire postérieure modérée avec une petite composante inflammatoire droite en L4-L5. D’un compte-rendu de la permanence SMR du 23 février 2021, il est ressorti que, de l’avis du Dr C.________, les éléments résultant de l’IRM précitée étaient déjà présents dans le rapport du Dr V.________ du 23 janvier 2019 et avaient été pris en considération par les experts du Centre P.________ sans se voir reconnaître de valeur incapacitante. Par décision du 3 mars 2021, l’OAI a confirmé son projet du 9 décembre 2020 dont il a repris la motivation. B. T.________, sous la plume de son conseil, a recouru le 15 avril 2021 devant la Cour des assurances sociales du Tribunal cantonal à l’encontre de la décision précitée, concluant principalement à la réforme</w:t>
      </w:r>
    </w:p>
    <w:p>
      <w:r>
        <w:t>- 9 - de cette décision et à l’octroi d’une rente d’invalidité « dont le taux sera déterminé à l’issue de l’instruction complémentaire, avec effet dès l’échéance du délai d’attente minimum, avec intérêt à 5 % l’an, à compter de l’échéance d’un délai de deux ans dès le début du droit à la rente », subsidiairement à l’annulation de la décision entreprise et au renvoi de la cause à l’autorité intimée pour instruction complémentaire et nouvelle décision dans le sens des considérants. En substance, la recourante a fait valoir que le rapport d’expertise du Centre P.________ contenait des contradictions, qu’il était insuffisamment motivé, que l’analyse des ressources incluait à tort l’aide apportée par son époux et que l’appréciation des experts était fondée sur un statut de 25 % active et 75 % ménagère alors même qu’elle présentait un statut d’active à 100 %. Cela étant, elle a requis la mise en œuvre d’une expertise bidisciplinaire comportant un volet rhumatologique et un volet psychiatrique. Appelé à se prononcer sur le recours, l’intimé en a proposé le rejet par réponse du 26 mai 2021, considérant pour l’essentiel qu’il n’y avait rien à reprocher au rapport d’expertise du 25 novembre 2020. Par réplique du 12 juillet 2021, la recourante persisté a dans ses précédents motifs et conclusions. Elle a par ailleurs versé en cause divers documents médicaux relatifs à une chute sans fracture le 4 février 2021. E n d r o i t : 1. 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w:t>
      </w:r>
    </w:p>
    <w:p>
      <w:r>
        <w:t>- 10 -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point de savoir si la recourante présente, en raison d'une atteinte à la santé, une diminution de sa capacité de travail et de gain susceptible de lui ouvrir le droit à des prestations de l’assurance-invalidité, singulièrement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d'invalidité si sa capacité de gain ou sa capacité d’accomplir ses travaux habituels ne peut pas être rétablie, maintenue ou améliorée par des mesures de réadaptation raisonnablement exigibles, s’il a présenté une incapacité de travail d’au</w:t>
      </w:r>
    </w:p>
    <w:p>
      <w:r>
        <w:t>- 11 -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- 12 -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En l’occurrence, la décision attaquée repose essentiellement sur le rapport d’expertise du 25 novembre 2020 des Drs F.________ et H.________ du Centre P.________. Dans le cadre de leur analyse, les experts ont plus particulièrement retenu que la recourante ne présentait aucune atteinte à la santé susceptible de diminuer sa capacité de travail, celle-ci étant conséquemment entière dans toute activité. aa) Sur le plan somatique, l’experte F.________ a conclu à un diagnostic de fibromyalgie ou syndrome douloureux chronique, relevant en particulier que tous les points de fibromyalgie étaient retrouvés à l’examen clinique (cf. rapport d’évaluation consensuelle du 25 novembre</w:t>
      </w:r>
    </w:p>
    <w:p>
      <w:r>
        <w:t>- 13 - 2020 p. 4 et rapport d’expertise rhumatologique du 25 novembre 2020 p. 14). A cet égard, force est de constater que l’existence d’une fibromyalgie – qui constitue un syndrome douloureux chronique (cf. Jean Perdrix, « Fibromyalgie, comment évaluer la capacité de travail ? », Revue médicale suisse du 20 juin 2007, vol. 3, p. 1585) – a été unanimement reconnue par le corps médical (cf. rapports des Drs B.________ [4 avril 2018], G.________ [4 septembre 2018], V.________ [23 janvier 2019], R.________ [10 février 2020] et O.________ [23 novembre 2018, 30 mars 2020 et 1er février 2021]) et ne fait ainsi l’objet d’aucune controverse. C’est toutefois le lieu de relever que l'appréciation du caractère invalidant d'une fibromyalgie est subordonnée, par analogie, aux principes développés par la jurisprudence en matière de troubles somatoformes douloureux, vu les nombreux points communs entre ces troubles (ATF 132 V 65 consid. 4). Ainsi, dès lors que les facteurs psychosomatiques ont une influence décisive sur le développement d'une telle maladie, le concours d'un médecin spécialisé en psychiatrie s’avère donc nécessaire quand il s'agit de se prononcer sur l'incapacité de travail qu'une fibromyalgie est susceptible d'entraîner (ATF 132 V 65 consid. 4.3), examen qui doit être réalisé sur la base d’une procédure probatoire structurée à l’aide d’indicateurs (TF 9C_808/2019 du 18 août 2020 consid. 5.2 ; voir également consid. 3c supra). Il suit de là que dans la mesure où l’unique diagnostic posé par l’experte F.________ est de nature psychosomatique, c’est avec retenue qu’il y a lieu d’appréhender les considérations de cette experte sur la capacité résiduelle de travail de la recourante (cf. rapport d’expertise rhumatologique du 25 novembre 2020 p. 14), dite évaluation incombant à un psychiatre et non à un rhumatologue. A cela s’ajoute encore que l’évaluation de la capacité de travail faite par l’experte F.________ et reprise dans l’appréciation globale des experts du Centre P.________ repose sur une prémisse erronée. En effet, l’experte a considéré que l’intéressée pouvait faire face aux</w:t>
      </w:r>
    </w:p>
    <w:p>
      <w:r>
        <w:t>- 14 - exigences de la tenue du ménage tout en travaillant une dizaine d’heures par semaine dans le domaine de l’entretien, qu’elle était ainsi femme au foyer à 75 % et employée de ménage à 25 % et que l’on pouvait, sur cette base, réfuter toute incapacité de travail (cf. rapport d’expertise rhumatologique du 25 novembre 2020 p. 14 et rapport d’évaluation consensuelle du 25 novembre 2020 p. 4). Force est toutefois de relever que le mandat octroyé le 25 août 2020 par l’OAI indiquait expressément « Le statut de la personne assurée est le suivant : activité lucrative à plein temps » (cf. rubrique « Motif et circonstances de l’expertise »), éléments d’ailleurs reproduits à l’identique dans le rapport d’expertise rhumatologique (p. 3) comme dans le rapport d’évaluation consensuelle (p. 3) ; ce statut de 100 % active correspond, au demeurant, aux indications fournies par l’assurée dans le formulaire y relatif complété le 5 décembre 2018. L’experte F.________ n’était dès lors pas habilitée à revenir sur la détermination du statut de la recourante – cette question relevant de la compétence de l’administration, respectivement du juge, et non du médecin. L’experte F.________ semble par ailleurs avoir amalgamé les exigences liées à la tenue d’un ménage et celles propre à une activité professionnelle dans le secteur du nettoyage. Néanmoins, une activité professionnelle de femme de ménage ne peut pas être comparée à la tenue du foyer familial (TF 9C_276/2020 du 18 décembre 2020 consid. 4.3). Ainsi,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et permet, par ailleurs, des adaptations de l'activité aux problèmes physiques qui ne sont pas nécessairement compatibles avec les exigences de rendement propres à l'exercice similaire dans un contexte professionnel (TF 9C_568/2017 du 11 janvier 2018 consid. 5.2 et la jurisprudence citée). Dans le cas particulier, cette distinction est illustrée par le fait que si l’intéressée fait ponctuellement appel à l’aide de sa famille pour l’entretien du ménage (cf. rapport d’évaluation consensuelle du 25 novembre 2020 p. 4), c’est en revanche de manière régulière qu’elle a besoin de l’aide son mari pour l’une de ses activités de nettoyeuse et qu’elle bénéfice pour l’autre de la</w:t>
      </w:r>
    </w:p>
    <w:p>
      <w:r>
        <w:t>- 15 - compréhension de son employeur lui permettant d’aller à son rythme (cf. rapport d’expertise rhumatologique du 25 novembre 2020 p. 8). Or ces éléments semblent avoir totalement échappé à l’experte rhumatologue. Son appréciation n’en apparaît ainsi que moins pertinente. Il découle de ce qui précède que le volet rhumatologique de l’expertise du Centre P.________ ne peut donc être suivi. bb) Sur le plan psychiatrique, l’expert H.________ n’a retenu aucun diagnostic (cf. rapport d’expertise psychiatrique du 25 novembre 2020 p. 15 ; cf. rapport d’évaluation consensuelle du 25 novembre 2020 p. 4). En amont, il a en particulier indiqué que l’assurée n’avait pas d’antécédents psychiatriques personnels (cf. ibid. loc. cit.). L’examen du dossier vient toutefois infirmer ce constat dès lors que, selon le Dr G.________, la recourante était connue pour un état anxio-dépressif (cf. rapport du 4 septembre 2018) et que, selon les dires de la Dre K.________ tels que rapportés par l’expert H.________, une médication avait été prescrite pour une symptomatologie dépressive et anxieuse réactionnelle au trouble douloureux (cf. rapport d’expertise psychiatrique du 15). Or ces éléments, à l’évidence évocateurs d’antécédents psychiatriques, méritaient à tout le moins d’être intégrés à la discussion conduite par l’expert H.________. Ainsi, en concluant catégoriquement à l’absence d’antécédent psychiatrique sans appréhender les points qui précèdent, l’expert susdit a procédé à un examen lacunaire des éléments en sa possession. On peine, de surcroît, à comprendre le raisonnement de l’expert H.________ dans la mesure où, s’il nie toute atteinte relevant de la sphère psychique, il fait néanmoins référence à des symptômes psychiques qui ne sont pas majorés (cf. rapport d’expertise psychiatrique du 25 novembre 2020 p. 16 et rapport d’évaluation consensuelle du 25 novembre 2020 p. 5). L’expertise ne contient toutefois aucune explication permettant de comprendre pour quels motifs de tels symptômes n’ont pas été jugés constitutifs d’un trouble psychique. En cela également, l’expertise psychiatrique est donc lacunaire.</w:t>
      </w:r>
    </w:p>
    <w:p>
      <w:r>
        <w:t>- 16 - L’analyse des ressources résiduelles de la recourante n’est pas davantage satisfaisante. On constate en particulier que les manifestations concrètes de la fibromyalgie ne sont guère développées ; en particulier, si l’expert H.________ a relevé différents symptômes dans le cadre de l’anamnèse systématique (humeur dépressive directement proportionnelle à l’intensité des douleurs, fatigue, niveau de concentration lié à l’intensité des douleurs, assurée plus anxieuse depuis qu’elle souffre de douleurs chroniques [cf. rapport d’expertise psychiatrique du 25 novembre 2020 p. 8 s.]), il ne s’est toutefois pas prononcé sur leurs conséquences au quotidien et ne s’est pas non plus déterminé quant aux troubles du sommeil annoncés dès le mois de novembre 2018 par la Dre O.________ (cf. rapport du 23 novembre 2018). L’expert psychiatre n’a en outre pas approfondi les suites de la prise en charge spécialisée dispensée à l’Hôpital de [...] et n’a pas discuté le terme prématuré apporté à la mesure d’intervention précoce initiée en novembre 2018 – cela alors même que selon les intervenants d’A.________, dite mesure a mis en lumière une problématique vraisemblablement médicale chez une assurée semblant réellement avoir besoin de soulager ses douleurs quotidiennes (cf. rapport d’entretien du 29 novembre 2018). Enfin, dès lors que le doute subsiste quant à l’existence ou non de troubles psychiques, tel qu’exposé plus haut, on ne saurait quoi qu’il en soit souscrire à l’appréciation des ressources proposée dans l’expertise du Centre P.________, faute de connaître précisément la nature, l’ampleur et l’interaction des troubles susceptibles de diminuer ces mêmes ressources. cc) De ce qui précède, il résulte que l’expertise du Centre P.________ s’avère insatisfaisante et ne permet pas de se positionner à satisfaction de droit. b) L’instruction menée auprès des médecins traitantes de l’assurée révèle également des lacunes. D’une part, force est de rappeler que l’OAI avait connaissance, en tous les cas depuis le mois de février 2020 (cf. rapport du 10 février 2020 de la Dre R.________), de ce qu’un suivi psychiatrique était dispensé à</w:t>
      </w:r>
    </w:p>
    <w:p>
      <w:r>
        <w:t>- 17 - la recourante. Partant, on ne peut que déplorer que la Dre K.________ n’ait pas été invitée à faire part de ses constatations quant à l’état de santé de sa patiente. L’interpellation de la psychiatre traitante s’avérait d’autant plus souhaitable que les propos que lui impute l’expert H.________ ne manquent pas de surprendre. En effet, selon l’expert psychiatre, la Dre K.________ aurait fait état d’un syndrome douloureux chronique lié à la fibromyalgie (cf. rapport d’expertise psychiatrique du 25 novembre 2020 p. 15), ce qui paraît pour le moins ambigu dans la mesure où une fibromyalgie constitue précisément un syndrome douloureux chronique (cf. Perdrix, loc. cit.). D’autre part, il appert que l’aggravation mentionnée le 1er février 2021 par la Dre O.________ n’a aucunement été prise en compte, le Dr C.________, dans sa prise de position subséquente (compte-rendu de permanence SMR du 23 février 2020), s’étant uniquement prononcé sous l’angle du rapport d’IRM du 29 janvier 2021. 5.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appert que les faits pertinents n’ont pas été constatés de manière satisfaisante et qu’il convient plus particulièrement de compléter l’instruction en vue de déterminer si la recourante présente des atteintes à la santé d’ordre psychosomatique ou psychique susceptibles d’influer sur sa capacité de travail. Il se justifie par</w:t>
      </w:r>
    </w:p>
    <w:p>
      <w:r>
        <w:t>- 18 -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solliciter un avis complémentaire auprès de la Dre K.________ puis de mettre en œuvre une expertise bidisciplinaire conformément à l’art. 44 LPGA comportant un volet psychiatrique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Vu l’issue du litige, il n’y a pas lieu de se positionner sur les autres arguments des parties. 6.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