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ZD21.012655 vom 20. April 2022</w:t>
      </w:r>
    </w:p>
    <w:p>
      <w:r>
        <w:t>VD Tribunal cantonal, 2022-04-20, FR</w:t>
      </w:r>
    </w:p>
    <w:p>
      <w:r>
        <w:rPr>
          <w:b/>
        </w:rPr>
        <w:t xml:space="preserve">Quelle: </w:t>
      </w:r>
      <w:r>
        <w:t>https://mcp.opencaselaw.ch/entscheid/vd_gerichte_ZD21.012655</w:t>
      </w:r>
    </w:p>
    <w:p>
      <w:r>
        <w:t>FR: VD_GERICHTE ZD21.012655 du 20 avril 2022</w:t>
      </w:r>
    </w:p>
    <w:p>
      <w:r>
        <w:t>IT: VD_GERICHTE ZD21.012655 del 20 aprile 2022</w:t>
      </w:r>
    </w:p>
    <w:p>
      <w:pPr>
        <w:pStyle w:val="Heading2"/>
      </w:pPr>
      <w:r>
        <w:t>Erwägungen</w:t>
      </w:r>
    </w:p>
    <w:p>
      <w:r>
        <w:rPr>
          <w:b/>
        </w:rPr>
        <w:t>E. 7</w:t>
      </w:r>
    </w:p>
    <w:p>
      <w:r>
        <w:t>Le recourant conteste enfin le versement de la somme de 33'711 fr. en faveur du CSR de [...]. a) Aux termes de l’art. 22 al. 1 LPGA, le droit aux prestations des assureurs sociaux est en principe incessible sous peine de nullité. En revanche, selon l’alinéa 2 de cette disposition,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b) Selon l’art 85bis al. 1 RAI (règlement du 17 janvier 1961 sur l’assurance-invalidité ; RS 831.201), dont la base légale est l'art. 22 LPGA (ATF 136 V 381 consid. 3.2), les employeurs, les institutions de prévoyance professionnelle, les assurances-maladie, les organismes d’assistance publiques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w:t>
      </w:r>
    </w:p>
    <w:p>
      <w:r>
        <w:t>- 14 -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 TF 9C_926/2010 du 4 août 2011 consid. 3.2). Conformément à l’art. 46 al. 1 LASV (loi cantonale du 2 décembre 2003 sur l’action sociale vaudoise ; BLV 850.051),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w:t>
      </w:r>
    </w:p>
    <w:p>
      <w:r>
        <w:t>- 15 - délai l’autorité compétente. Si ces prestations d’assurance sont octroyées rétroactivement, les montants reçus au titre de prestations du revenu d’insertion sont considérés comme des avances et le bénéficiaire est tenu de les restituer (y compris les frais particuliers ou exceptionnels). L’alinéa 2 dispose que l’autorité ayant octroyé le RI est subrogée dans les droits du bénéficiaire à concurrence des montants versés par elle et peut demander aux assurances concernées que les arrérages des rentes soient versés en ses mains jusqu’à concurrence des prestations allouées. c) En l’espèce, le recourant a émargé aux services sociaux et a perçu à ce titre le revenu d’insertion du 1er avril 2018 au 31 décembre 2020. Le CSR dispose d’un droit direct au remboursement de ses avances sur les prestations de l’AVS/AI qui sont octroyées rétroactivement, conformément aux dispositions légales exposées ci-dessus. Se fondant sur l’art. 46 LAVS, le Service social de la Ville de [...] a déposé une demande de compensation en faveur du CSR de [...] le 17 décembre 2020, directement auprès de la Caisse U.________. Il a joint à cette demande un décompte bénéficiaire chronologique, duquel il ressort les prestations versées à l’assuré durant cette période, pour un montant total de 86'110 francs. Il a cependant réclamé la restitution d’un montant de 33'711 francs. Fondé sur ce qui précède, l’OAI était fondé à compenser cette somme sur le montant des rentes versé rétroactivement au recourant.</w:t>
      </w:r>
    </w:p>
    <w:p>
      <w:r>
        <w:rPr>
          <w:b/>
        </w:rPr>
        <w:t>E. 8</w:t>
      </w:r>
    </w:p>
    <w:p>
      <w:r>
        <w:t>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