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ZD21.009053 vom 1. November 2021</w:t>
      </w:r>
    </w:p>
    <w:p>
      <w:r>
        <w:t>VD Tribunal cantonal, 2021-11-01, FR</w:t>
      </w:r>
    </w:p>
    <w:p>
      <w:r>
        <w:rPr>
          <w:b/>
        </w:rPr>
        <w:t xml:space="preserve">Quelle: </w:t>
      </w:r>
      <w:r>
        <w:t>https://mcp.opencaselaw.ch/entscheid/vd_gerichte_ZD21.009053</w:t>
      </w:r>
    </w:p>
    <w:p>
      <w:r>
        <w:t>FR: VD_GERICHTE ZD21.009053 du 1 novembre 2021</w:t>
      </w:r>
    </w:p>
    <w:p>
      <w:r>
        <w:t>IT: VD_GERICHTE ZD21.009053 del 1 novembre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titre liminaire, le recourant requiert la suspension de la procédure jusqu’à droit connu sur la demande de prestations qu’il aurait déposée le 23 juin 2020. Une telle requête n’est toutefois pas justifiée au vu des circonstances. Il convient de relever que le recourant, s’il a annoncé à l’office intimé par courrier du 23 juin 2020 une aggravation de</w:t>
      </w:r>
    </w:p>
    <w:p>
      <w:r>
        <w:t>- 14 - son état de santé, a également indiqué que de nouveaux rapports médicaux suivraient. Or il n'a pas donné suite à cette annonce, alors même qu’il ne pouvait ignorer la nécessité de disposer de renseignements médicaux nouveaux pour justifier une entrée en matière sur une nouvelle demande. Contrairement à ce qu’il soutient dans son recours, l’office intimé n’avait pas, compte tenu des circonstances et du fait qu’il s’agissait de la septième demande de prestations de sa part, à lui transmettre un formulaire de demande de prestations.</w:t>
      </w:r>
    </w:p>
    <w:p>
      <w:r>
        <w:rPr>
          <w:b/>
        </w:rPr>
        <w:t>E. 3</w:t>
      </w:r>
    </w:p>
    <w:p>
      <w:r>
        <w:t>Le recourant reproche ensuite à l’office intimé d’avoir violé son droit d’être entendu sous plusieurs formes. a) Par un premier moyen, le recourant fait grief à l’office intimé de lui avoir refusé l’accès au dossier intégral de la procédure, soit en particulier aux notes internes recueillies par l’enquêteur au cours de l’évaluation du 8 juillet 2020. aa) Le droit de consulter le dossier est un aspect du droit d’être entendu garanti par l’art. 29 al. 2 Cst. (ATF 132 II 485 consid. 3.2). Il est notamment concrétisé à l’art. 47 al. 1 let. a LPGA selon lequel l’assuré a le droit de consulter le dossier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w:t>
      </w:r>
    </w:p>
    <w:p>
      <w:r>
        <w:t>- 15 -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bb) En l’espèce, il y a lieu d’appliquer par analogie les principes développés par le Tribunal fédéral en matière de notes internes d’un expert. Ainsi, les notes internes de l’évaluateur chargé d’une enquête économique sur le ménage constituent incontestablement des documents de travail internes destinés uniquement à la formation de l’opinion de l’évaluateur. Au demeurant, force est de remarquer que les observations recueillies par l’évaluateur ont été retranscrites dans le rapport que celui- ci a établi le 22 juillet 2020. En réalité, en tant que le recourant conteste le contenu du rapport d’enquête, il formule des critiques qui portent sur le résultat de l’appréciation des preuves et qui se confondent avec le grief tiré d’une constatation manifestement inexacte des faits pertinents, de sorte qu’elles doivent être examinées avec le fond du litige. b) Par un second moyen, le recourant reproche à l’office intimé de n’avoir pas demandé l’avis du SMR au sujet de la question de l’impotence et, partant, d’avoir refusé de mettre en œuvre une mesure d’instruction indispensable. 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TF 8C_15/2009 du 11 janvier 2010 consid. 3.2, in SVR 2010 IV n° 42 p. 132). Le juge peut en effet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que certains faits présentent un degré de vraisemblance</w:t>
      </w:r>
    </w:p>
    <w:p>
      <w:r>
        <w:t>- 16 - prépondérante et que d’autres mesures probatoires ne pourraient plus modifier cette appréciation (sur l’appréciation anticipée des preuves en général : ATF 131 I 153 consid. 3 ; 130 II 425 consid. 2). Il s’agit par conséquent également d’un grief qu’il convient d’examiner avec le fond du litige.</w:t>
      </w:r>
    </w:p>
    <w:p>
      <w:r>
        <w:rPr>
          <w:b/>
        </w:rPr>
        <w:t>E. 4</w:t>
      </w:r>
    </w:p>
    <w:p>
      <w:r>
        <w:t>Sur le fond, le litige a pour objet le droit du recourant à une allocation pour impotent de l’assurance-invalidité.</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- 17 -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w:t>
      </w:r>
    </w:p>
    <w:p>
      <w:r>
        <w:t>- 18 -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w:t>
      </w:r>
    </w:p>
    <w:p>
      <w:r>
        <w:t>- 19 - ordinaires de la vie concernés, l’enjoignant à agir, l’empêchant de commettre des actes dommageables et lui apportant son aide au besoin. Elle doit cependant être distinguée de l’accompagnement pour faire face aux nécessités de la vie (ch. 8029 et 8030 CIIAI). c) La notion de surveillance personnelle permanente au sens de l'art. 37 al. 2 let. b et al. 3 let. b RAI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(ATF 107 V 136 consid. 1b ; 106</w:t>
      </w:r>
    </w:p>
    <w:p>
      <w:r>
        <w:t>- 20 - V 153 consid. 2a ; TF 9C_831/2017 du 3 avril 2018 consid. 3.1 et les références).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w:t>
      </w:r>
    </w:p>
    <w:p>
      <w:r>
        <w:t>- 21 -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rPr>
          <w:b/>
        </w:rPr>
        <w:t>E. 6</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 122 V 157 consid. 1c).</w:t>
      </w:r>
    </w:p>
    <w:p>
      <w:r>
        <w:rPr>
          <w:b/>
        </w:rPr>
        <w:t>E. 7</w:t>
      </w:r>
    </w:p>
    <w:p>
      <w:r>
        <w:t>a) En l’occurrence, il faut en premier lieu présenter la situation du recourant sur le plan médical. aa) Sur le plan somatique, les Drs L.________ et G.________, experts auprès du N.________, avaient, dans le rapport d’expertise du 18 juin 2013, posé les diagnostics – sans répercussion sur la capacité de travail – de status après entorse de la cheville et du genou gauches survenus le 23 février 2001 et de lombalgies communes sur discopathies lombaires débutantes, sans hernie discale. Ils avaient constaté que les radiographies des genoux et des chevilles du recourant ne faisaient état</w:t>
      </w:r>
    </w:p>
    <w:p>
      <w:r>
        <w:t>- 22 - d’aucune lésion objectivable. En comparaison avec l’expertise du N.________ du 15 juin 2007, les Drs L.________ et G.________ avaient relevé que le seul élément nouveau était une transposition antérieure du cubital au pli du coude gauche qui s’était soldée par une guérison complète. Ils avaient finalement considéré que le recourant ne souffrait d’aucune pathologie susceptible de réduire de façon significative et durable sa capacité de travail et qu’il ne présentait aucune limitation fonctionnelle. Selon ces praticiens, la capacité de travail du recourant était entière tout comme l’avaient retenu les experts du N.________ en 2007. bb) Sur le plan psychiatrique, le Dr Z.________, expert auprès du N.________, avait, dans le rapport d’expertise du 18 juin 2013, relevé que le recourant était une personne nerveuse, irritable, démonstrative, méfiante, focalisée sur ses douleurs chroniques et psychiques ainsi que révoltée par le fait que les médecins de l’OAI ne concluaient pas à l’existence d’un trouble incapacitant. Ce médecin avait pourtant observé que le recourant ne présentait pas de troubles cognitifs, de troubles de la pensée, d’obsession, d’idées délirantes et de déficit émotionnel. L’examen clinique n’avait objectivé aucune limitation fonctionnelle, si ce n’était que l’irritabilité dont le recourant témoignait pouvait se révéler problématique dans les contacts sociaux. L’expert avait retenu les diagnostics de dysthymie et de syndrome douloureux somatoforme persistant. Le syndrome douloureux survenait dans le cadre d’une probable personnalité fruste, d’une scolarisation limitée, d’un manque de formation et d’une situation financière précaire. Le côté nerveux et irritable du recourant pouvait être interprété comme une réaction au syndrome douloureux chronique, comme faisant partie de sa dysthymie, voire comme des traits de personnalité émotionnellement labile de type impulsif. Le Dr Z.________ avait considéré qu’il n’y avait pas d’état psychique cristallisé, si ce n’était une fixation sur les douleurs. Il avait conclu à une pleine capacité de travail, tout comme le précédent expert psychiatre en 2007. cc) Par arrêt du 28 mai 2020 (CASSO AI 303/19 – 166/2020) entré en force, la Cour de céans a considéré que les rapports médicaux produits dans le contexte de la nouvelle demande de prestations déposée</w:t>
      </w:r>
    </w:p>
    <w:p>
      <w:r>
        <w:t>- 23 - le 16 novembre 2018 (à savoir les rapports des 5 novembre 2018 du Dr R.________, 27 février 2019 de la Dre J.________ et 4 juin 2019 du Dr W.________) n’étaient pas susceptibles de mettre en cause le bien-fondé des constatations et conclusions du rapport d’expertise médicale pluridisciplinaire du 18 juin 2013. b) aa) S’agissant des actes ordinaires de la vie, il convient de constater dans un premier temps que le recourant ne semble pas avoir besoin d’aide pour les actes de « manger » et d’« aller aux toilettes ». Même si le Dr B.________ a indiqué que son patient requérait de l’aide pour couper ses aliments et les porter à la bouche, il y a lieu de constater qu’un tel besoin n’a été mentionné ni dans la demande ni par la famille du recourant, que ce soit au cours de l’enquête économique sur le ménage ou dans les diverses écritures rédigées par la suite. bb) En ce qui concerne les actes de « se vêtir/dévêtir », de « se lever/s’asseoir/se coucher » et de « faire sa toilette », le Dr W.________ a indiqué dans son rapport du 26 avril 2020 que le recourant était capable de les accomplir. aaa) En ce qui concerne l’acte de « se vêtir/dévêtir », il ressort des pièces versées au dossier que le recourant peut accomplir seul cet acte ordinaire de la vie, mais a néanmoins besoin de l’aide de son épouse ou de sa fille pour lui indiquer les vêtements appropriés à la situation météorologique et lui dire de se changer. Aussi faut-il admettre que le recourant a besoin d’une aide indirecte, dès lors que, s’il était livré à lui- même, il n’accomplirait pas cet acte ou ne le ferait qu’imparfaitement ou à contretemps. Cela suffit pour admettre qu’il a besoin de l’aide d’autrui pour se vêtir (cf. TF I 735/05 du 23 juillet 2007 consid. 5.1, non publié in ATF 133 V 472 ; ATF 121 V 88 consid. 3c ; 107 V 145 consid. 1c et les références). bbb) En ce qui concerne l’acte de « se lever/s’asseoir/se coucher », il ressort des pièces versées au dossier que le recourant peut parfois se retrouver à terre à la suite de faiblesse dans la jambe et</w:t>
      </w:r>
    </w:p>
    <w:p>
      <w:r>
        <w:t>- 24 - nécessiter de l’aide pour se relever. Il s’agit toutefois d’une aide ponctuelle qui n’entre pas dans la notion d’aide régulière et importante pour accomplir cet acte ordinaire de la vie. ccc) En ce qui concerne finalement l’acte de « faire sa toilette », il ressort des pièces versées au dossier que le recourant doit régulièrement être incité à la faire par son épouse ou par sa fille. En l’occurrence, l’aide indirecte ne revêt pas une intensité suffisante, dès lors qu’il est admis que les indications verbales et les rappels pour accomplir les actes ordinaires de la vie de manière autonome ne sont en effet pas considérés comme une aide importante (ch. 8026.1 CIIAI, introduit en juillet 2020, qui précise la notion d’aide indirecte définie aux ch. 8029ss). cc) En dernier lieu, la question se pose de savoir si le recourant a besoin d’aide pour l’acte de « se déplacer/entretenir des contacts sociaux ». Or il est établi que, sur le plan somatique, le recourant ne présente aucune atteinte propre à limiter ses mouvements et qu’il peut se déplacer lui-même dans son logement ou à l’extérieur. Il ressort au contraire du dossier que le recourant est en mesure de conduire – certes sur de courtes distances – et qu’il peut se rendre dans un café ou à la Migros de sa ville. En tant qu’il est invoqué que le recourant a besoin, en raison de son état de santé psychique, d’aide pour établir des contacts sociaux (cf. rapport du Dr W.________ du 26 avril 2020), cette question doit être examinée au titre de « l’accompagnement pour faire face aux nécessités de la vie ». dd) Il y a lieu de constater, au final, qu’il n’apparaît pas, à la lumière du dossier, que le recourant aurait besoin d’une aide importante et régulière d’autrui pour accomplir plus d’un acte ordinaire de la vie. c) S’agissant ensuite du besoin de surveillance personnelle permanente, il n’existe au dossier aucun élément qui laisse à penser que le recourant nécessite, en raison de son état de santé, une telle assistance. Il n’apparaît pas que celui-ci doive – indépendamment de son besoin d’aide pour l’acte de « se vêtir/dévêtir » – être surveillé</w:t>
      </w:r>
    </w:p>
    <w:p>
      <w:r>
        <w:t>- 25 - spécialement en toutes circonstances, pour sa propre sécurité (ou pour la protection d’autres personnes). En effet, si en 2013 l’expert psychiatre au N.________ a certes estimé que le recourant était une personne nerveuse, irritable, démonstrative, méfiante, focalisée sur ses douleurs chroniques et psychiques ainsi que révoltée par le fait que les médecins de l’OAI ne concluaient pas à l’existence d’un trouble incapacitant, il ne ressort toutefois pas des pièces versées au dossier d’indications permettant d’admettre que son humeur aurait conduit à ce que le recourant se mette en danger et nécessite davantage de surveillance, excepté une unique hospitalisation de quelques jours en milieu spécialisé au [...] à [...] en novembre 2018, laquelle a d’ailleurs été très mal vécue par celui-ci. d) S’agissant pour finir du besoin d’un accompagnement durable pour faire face aux nécessités de la vie, il convient de mettre en évidence, sur la base des pièces versées au dossier, que le recourant a, à l’évidence, développé une dépendance aiguë envers son épouse et sa fille, en ce sens qu’il ne semble pas en mesure de gérer ses tâches administratives ou sa prise de médicaments. La question de savoir s’il a besoin d’un accompagnement pour faire face aux nécessités de la vie peut néanmoins demeurer indécise. Selon l’art. 42 al. 3, deuxième phrase, LAI et 38 al. 2 RAI, lorsqu’une personne souffre uniquement d’une atteinte à la santé psychique – ce qui est le cas en l’espèce –, elle doit, pour être considérée comme impotente, avoir droit au moins à un quart de rente. Or il n’est pas contestable que le recourant n’est pas au bénéfice d’un quart de rente, la dernière demande de prestations déposée ayant fait l’objet d’une décision de non entrée en matière en date du 10 juillet 2019 (confirmée par arrêt de la Cour des assurances sociales du 28 mai 2020 [AI 303/19 – 166/2020]). e) Au vu de ce qui précède, le recourant n’a pas besoin de façon régulière et importante de l’aide d’autrui pour accomplir au moins deux actes ordinaires de la vie (cf. art. 37 al. 3 let. a RAI) ni d’une surveillance personnelle permanente (cf. art. 37 al. 3 let. b RAI) ni d’un accompagnement durable pour faire face aux nécessités de la vie au sens de l’art. 38 RAI (cf. art 37 al. 3 let. e RAI), ce dernier point pouvant</w:t>
      </w:r>
    </w:p>
    <w:p>
      <w:r>
        <w:t>- 26 - néanmoins demeurer indécis compte tenu du fait que le recourant, souffrant uniquement d’une atteinte à sa santé psychique, n’est pas au bénéfice d’un quart de rente (cf. art. 42 al. 3, deuxième phrase, LAI et 38 al. 2 RAI). Le recourant ne remplissant pas les conditions pour l’octroi d’une allocation pour impotent de degré faible, c’est à bon droit que l’intimé a rejeté la demande du 14 juin 2019. f) Finalement, il n’y avait pas lieu, contrairement à ce que soutient le recourant, de requérir dans le cas d’espèce la production d’un avis médical de la part du SMR. D’ailleurs, le recourant n’explicite d’aucune manière les raisons pour lesquelles les pièces figurant au dossier étaient manifestement insuffisantes pour statuer sur le droit à l’allocation pour impotent et ce que la production d’un tel avis médical aurait pu apporter.</w:t>
      </w:r>
    </w:p>
    <w:p>
      <w:r>
        <w:rPr>
          <w:b/>
        </w:rPr>
        <w:t>E. 8</w:t>
      </w:r>
    </w:p>
    <w:p>
      <w:r>
        <w:t>a)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requiert la prise en charge par l’intimé des frais d’établissement du rapport du Dr B.________ du 25 novembre 2020 s’élevant à 1'960 francs. aa) L’art. 45 al. 1 LPGA prévoit que les frais de l’instruction sont pris en charge par l’assureur qui a ordonné les mesures. A défaut, l’assureur rembourse les frais occasionnés par les mesures indispensables à l’appréciation du cas ou comprises dans les prestations accordées</w:t>
      </w:r>
    </w:p>
    <w:p>
      <w:r>
        <w:t>- 27 -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du Dr B.________ n’a, comme le démontre la motivation du présent arrêt, pas apporté de constatations déterminantes pour confirmer ou infirmer la position de l’intimé. Le rapport du Dr B.________ n’était dès lors pas indispensable à l’appréciation du cas au sens de l’art. 45 al. 1 LPGA, de sorte que les frais correspondants ne doivent pas être pris en charge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