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ZD21.009047 vom 15. Mai 2024</w:t>
      </w:r>
    </w:p>
    <w:p>
      <w:r>
        <w:t>VD Tribunal cantonal, 2024-05-15, FR</w:t>
      </w:r>
    </w:p>
    <w:p>
      <w:r>
        <w:rPr>
          <w:b/>
        </w:rPr>
        <w:t xml:space="preserve">Quelle: </w:t>
      </w:r>
      <w:r>
        <w:t>https://mcp.opencaselaw.ch/entscheid/vd_gerichte_ZD21.009047</w:t>
      </w:r>
    </w:p>
    <w:p>
      <w:r>
        <w:t>FR: VD_GERICHTE ZD21.009047 du 15 mai 2024</w:t>
      </w:r>
    </w:p>
    <w:p>
      <w:r>
        <w:t>IT: VD_GERICHTE ZD21.009047 del 15 maggio 2024</w:t>
      </w:r>
    </w:p>
    <w:p>
      <w:pPr>
        <w:pStyle w:val="Heading2"/>
      </w:pPr>
      <w:r>
        <w:t>Erwägungen</w:t>
      </w:r>
    </w:p>
    <w:p>
      <w:r>
        <w:rPr>
          <w:b/>
        </w:rPr>
        <w:t>E. 1</w:t>
      </w:r>
    </w:p>
    <w:p>
      <w:r>
        <w:t>a) Les dispositions de la LPGA (loi fédérale du 6 octobre 2000 sur la partie générale du droit des assurances sociales ; RS 830.1) s'appliquent à l'assurance-invalidité (art. 1 al.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LPA-VD [loi sur la procédure administrative du 28 octobre 2008; BLV 173.36]) et respecte pour le surplus les formalités prévues par la loi (cf. art. 61 let. b LPGA), de sorte qu'il est recevable.</w:t>
      </w:r>
    </w:p>
    <w:p>
      <w:r>
        <w:rPr>
          <w:b/>
        </w:rPr>
        <w:t>E. 2</w:t>
      </w:r>
    </w:p>
    <w:p>
      <w:r>
        <w:t>a) Le point de savoir si et, le cas échéant dans quelle mesure, un assureur, respectivement une institution ou un organisme, dispose d’une créance en restitution à l’encontre d’un assuré, respectivement d’un bénéficiaire, doit, en cas de litige, être tranché dans une procédure opposant l’assurance, l’institution ou l’organisme concerné et l’assuré, respectivement le bénéficiaire ; celui-ci doit contester le principe de la restitution et, le cas échéant, l’étendue de celle-ci directement auprès de l’assureur, l’institution ou l’organisme. La décision de l’office AI sur le paiement direct à l’assureur, l’institution ou l’organisme ne concerne que les modalités du versement, de sorte qu’elle ne déploie aucune force de chose décidée en ce qui concerne le bien-fondé et le montant de la créance en restitution de l’assurance, l’institution ou l’organisme concerné</w:t>
      </w:r>
    </w:p>
    <w:p>
      <w:r>
        <w:t>- 4 - (TF 9C_232/2016 du 1er septembre 2016 consid. 5.2 ; 9C_287/2014 du 16 juin 2014 consid. 2.2 et les références). b) En l’espèce, est notamment litigieuse la question de savoir si l’OAI était fondé à déduire le montant de 31'641 fr. des arrérages de rente dus au recourant pour la période du 1er janvier 2018 au 31 janvier 2021, à titre de compensation en faveur du CSR. En d’autres termes, le recourant conteste le principe de la compensation des prestations opérées en faveur du CSR. Son recours est recevable dans la mesure où il porte sur cette question. En revanche, en tant que le recours concernerait également l’examen du bien-fondé de la créance et de son montant – ce qui ne semble pas être le cas à teneur de l’acte de recours – il serait irrecevable sur ce point, conformément à la jurisprudence fédérale susmentionnée.</w:t>
      </w:r>
    </w:p>
    <w:p>
      <w:r>
        <w:rPr>
          <w:b/>
        </w:rPr>
        <w:t>E. 3</w:t>
      </w:r>
    </w:p>
    <w:p>
      <w:r>
        <w:t>a) Selon l’art. 22 al. 1 LPGA, le droit aux prestations est incessible ; il ne peut être donné en gage. Toute cession ou mise en gage est nulle. L’art. 22 al. 2 LPGA prévoit toutefois que les prestations accordées rétroactivement par l’assureur social peuvent être cédées à l’employeur ou à une institution d’aide sociale publique ou privée dans la mesure où ceux-ci ont consenti des avances (let. a) ou à l’assureur qui a pris provisoirement à sa charge des prestations (let. b). b) A teneur de l’art. 85bis al. 1 RAI (règlement du 17 janvier 1961 sur l'assurance-invalidité ; RS 831.201), dont la base légale est l'art. 22 al. 2 LPGA (ATF 136 V 381 consid. 3.2),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Les organismes ayant consenti une avance doivent faire valoir leurs droits au moyen d’un formulaire spécial, au plus tôt lors de la demande de rente et, au plus tard au moment de la décision de l’office AI.</w:t>
      </w:r>
    </w:p>
    <w:p>
      <w:r>
        <w:t>- 5 - c) En vertu de l’art. 85bis al. 2 let. b RAI, sont considérées comme une avance, les prestations versées contractuellement ou légalement, pour autant que le droit au remboursement, en cas de paiement d’une rente, puisse être déduit sans équivoque du contrat ou de la loi. Pour que l'on puisse parler d'un droit non équivoque au remboursement à l'égard de l'assurance-invalidité, il faut que le droit direct au remboursement découle expressément d'une disposition légale ou contractuelle (ATF 133 V 14 consid. 8.3 et les références ; TF 9C_111/2022 du 1er décembre 2022 consid. 3.2). d) Les prestations fournies en vertu d’une obligation légale sont notamment celles de l’aide sociale publique. Si une loi cantonale règle cette matière, un versement rétroactif n’est possible que si elle confère à l’organe qui a effectué des avances un véritable droit au remboursement des prestations versées après coup (ATF 123 V 25 consid.</w:t>
      </w:r>
    </w:p>
    <w:p>
      <w:r>
        <w:rPr>
          <w:b/>
        </w:rPr>
        <w:t>E. 5</w:t>
      </w:r>
    </w:p>
    <w:p>
      <w:r>
        <w:t>a) Au vu de ce qui précède, le recours, mal fondé, doit être rejeté et la décision de l’OAI du 2 février 2021 confirmée. b) La procédure de recours en matière de contestations portant sur l'octroi ou le refus de prestations de l'AI devant le tribunal cantonal des assurances est soumise à des frais judiciaires (art. 69 al. 1bis LAI). Selon la jurisprudence, le litige concernant le paiement des prestations en mains de tiers n’a toutefois pas, en soi, pour objet l’octroi ou le refus de prestations d’assurance (TF I 256/06 du 26 septembre 2007 consid. 2 et 7 ; cf. également : ATF 121 V 17 consid. 2). En application de l’art. 61 let. a LPGA (dans sa teneur en vigueur jusqu’au 31 décembre 2020, applicable conformément à l’art. 82a LPGA), il ne sera donc pas perçu de frais judicaires. c) Il n’y a pas lieu d’allouer des dépens au recourant,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