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ZD21.009044 vom 11. November 2022</w:t>
      </w:r>
    </w:p>
    <w:p>
      <w:r>
        <w:t>VD Tribunal cantonal, 2022-11-11, FR</w:t>
      </w:r>
    </w:p>
    <w:p>
      <w:r>
        <w:rPr>
          <w:b/>
        </w:rPr>
        <w:t xml:space="preserve">Quelle: </w:t>
      </w:r>
      <w:r>
        <w:t>https://mcp.opencaselaw.ch/entscheid/vd_gerichte_ZD21.009044</w:t>
      </w:r>
    </w:p>
    <w:p>
      <w:r>
        <w:t>FR: VD_GERICHTE ZD21.009044 du 11 novembre 2022</w:t>
      </w:r>
    </w:p>
    <w:p>
      <w:r>
        <w:t>IT: VD_GERICHTE ZD21.009044 del 11 novembre 2022</w:t>
      </w:r>
    </w:p>
    <w:p>
      <w:pPr>
        <w:pStyle w:val="Heading2"/>
      </w:pPr>
      <w:r>
        <w:t>Erwägungen</w:t>
      </w:r>
    </w:p>
    <w:p>
      <w:r>
        <w:rPr>
          <w:b/>
        </w:rPr>
        <w:t>E. 15</w:t>
      </w:r>
    </w:p>
    <w:p>
      <w:r>
        <w:t>avril 2019, l’office AI a confié à l’Unité d’expertises médicales du Centre D.________ à H.________ le soin de procéder à l’expertise pluridisciplinaire (médecine interne, rhumatologie, psychiatrie, neurologie et neuropsychologie) de X.________ Déposé le 1er septembre 2020, le rapport de synthèse (expertise consensuelle) se fondait sur un examen de médecine interne du 4 février 2020 (Dre Q.________, spécialiste en médecine interne générale), un examen rhumatologique du 4 mars 2020 (Dr J.________, spécialiste en médecine interne générale et en rhumatologie), un examen neurologique du 14 mai 2020 (Dr S.________, spécialiste en neurologie), un examen psychiatrique du 26 mai 2020 (Dr Z.________, spécialiste en psychiatrie et en psychothérapie) ainsi qu’un examen neuropsychologique du 18 juin 2020 (T.________, neuropsychologue FSP). Les signataires du rapport de synthèse (Drs Q.________, Z.________ et M.________, spécialiste en médecine interne générale et médecin superviseur) en ont discuté les conclusions dans le cadre d’un colloque de synthèse multidisciplinaire le 28 juillet 2020. Sur la base de leur analyse, les experts ont posé les diagnostics suivants « ayant ou non une incidence sur la capacité de travail » : • Probable AVC lacunaire sous-thalamique gauche dans le cadre d’un syndrome des anticorps antiphospholipides dans un contexte de lupus érythémateux cutané I69.4 • Atteinte neuropsychologique modérée à sévère d’origine mixte</w:t>
      </w:r>
    </w:p>
    <w:p>
      <w:r>
        <w:t>- 4 - (développementale aggravée par l’AVC) R41.8 • Troubles sensitifs hémicorporels droits possiblement séquellaires versus psychogènes R29.8 • Malaises paroxystiques d’origine indéterminée R43 • Trouble dépressif récurrent, épisode actuel au décours F33.0 • Obésité morbide (IMC à 50 kg/m2) E66.9 • Lombalgies chroniques non spécifiques avec troubles statiques et dégénératifs M54.5 • Gonalgies droites en voie de chronicisation d’étiologie indéterminée M25.5 • Séquelles d’une fracture luxation complexe du coude droit (triade malheureuse) en avril 2017 avec : - Limitations fonctionnelles de l’extension et de la supination S52.0 Au terme de leur analyse, les experts ont retenu que la capacité de travail était nulle dans l’activité habituelle de nettoyeuse mais qu’elle était de 50 % depuis le mois d’avril 2017 dans une activité adaptée à son état de santé. En réponse aux questions de l’office AI, les experts ont par ailleurs indiqué que l’assurée avait besoin d’une aide pour se vêtir/se dévêtir, les soins corporels ainsi que pour se déplacer. Sollicitée pour détermination, la Dre N.________, médecin auprès du Service médical régional de l’assurance-invalidité (ci-après : le SMR), a fait sienne l’appréciation expertale (avis médical du 9 septembre 2020). L’office AI a fait réaliser une enquête à domicile. Il ressortait du rapport établi le 26 novembre 2020 que l’assurée avait besoin de l’aide d’un tiers pour se déplacer à l’extérieur depuis le mois d’avril 2017, époque à laquelle elle s’était fracturé le poignet, ce qui avait aggravé ses difficultés d’endurance et de mobilisation avec le rollator.</w:t>
      </w:r>
    </w:p>
    <w:p>
      <w:r>
        <w:t>- 5 - Le 27 novembre 2020, l’office AI a informé l’assurée qu’il entendait lui nier le droit à une allocation pour impotent, au motif que, selon les renseignements en sa possession, elle ne nécessitait pas l’aide régulière et importante d’un tiers pour accomplir au moins deux actes ordinaires de la vie. En outre, un accompagnement pour faire face aux nécessités de la vie de 2 heures par semaine en moyenne sur une période de 3 mois n’était pas prouvé. En l’absence d’objections, l’office AI a, par décision du 25 janvier 2021, entériné son refus d’allouer une allocation pour impotent, conformément à son projet de décision du 27 novembre 2020. Par décisions des 9 et 22 février 2021, l’office AI a reconnu le droit de l’assurée à une rente d’invalidité de trois-quarts dès le 1er juillet 2017. B. a) Par acte du 26 février 2021, X.________, représentée par Me Séverin Tissot-Daguette, avocat, a saisi la Cour des assurances sociales du Tribunal cantonal du canton de Vaud d’un recours contre la décision du 25 janvier 2021 en concluant, sous suite de frais et dépens, principalement à l’octroi d’une allocation pour impotent « au moins de degré léger », subsidiairement au renvoi de la cause à l’office AI pour complément d’instruction dans le sens des considérants puis nouvelle décision. Contestant l’appréciation de l’enquêtrice à domicile, elle a fait valoir qu’elle avait besoin d’aide pour effectuer quatre actes ordinaires de la vie : faire sa toilette, se vêtir, aller aux toilettes et se lever. Par ailleurs, c’était à tort que l’office AI n’avait pas retenu un besoin d’accompagnement durable pour faire face aux nécessités de la vie puisque la plupart des tâches ménagères et des démarches administratives étaient réalisées respectivement par son époux et par un assistant social. b) Dans sa réponse du 26 avril 2021, l’office AI a exposé pour quels motifs l’enquêtrice n’avait pas retenu un besoin d’aide pour les actes « faire sa toilette », « aller aux toilettes » et « se lever » ainsi que</w:t>
      </w:r>
    </w:p>
    <w:p>
      <w:r>
        <w:t>- 6 - ceux pour lesquels un besoin d’accompagnement n’avait pas été pris en considération. Il a conclu au rejet du recours. c) L’assurée et l’office AI ont déclaré confirmer leurs conclusions au cours de l’échange d’écritures subséquent (réplique et duplique datées respectivement des 17 et 31 août 2021). d) Le 15 septembre 2021, l’assurée a produit un rapport établi le 13 septembre précédent dans lequel le Centre médico-social de W.________ (ci-après : le CMS) décrivait les difficultés qu’elle rencontrait dans le cadre des activités de la vie quotidienne. Selon les observations consignées dans ce document, elle avait besoin d’aide pour se vêtir/se dévêtir, se lever/s’asseoir/se coucher, faire sa toilette/se doucher, aller aux toilettes (à l’extérieur) et pour se déplacer à l’extérieur. e) Par pli du 4 octobre 2021, l’office AI a indiqué que les arguments développés par l’assurée dans ses observations du 15 septembre 2021 n’étaient pas de nature à modifier sa position, si bien qu’il concluait derechef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allocation pour impotent de l’assurance-invalidité.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janvier 2021 (ATF 144 V 210 consid. 4.3.1 ; 138 V 176 consid. 7.1 ; TF 9C_881/2018 du 6 mars 2019 consid. 4.1).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w:t>
      </w:r>
    </w:p>
    <w:p>
      <w:r>
        <w:t>- 8 - durablement besoin que d’un accompagnement pour faire face aux nécessités de la vie, l’impotence est réputée faible ; l’art. 42bis al. 5 est réservé. 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8010 ss de la Circulaire sur l’invalidité et l’impotence dans l’assurance- 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moeurs usuelles (ATF 121 V 88 consid. 6c). Cependant, si certains actes sont rendus plus difficiles ou même ralentis par l’infirmité, cela ne suffit pas pour conclure à l’existence d’une impotence (TF 9C_360/2014 du 14 octobre 2014 consid. 4.4).</w:t>
      </w:r>
    </w:p>
    <w:p>
      <w:r>
        <w:t>- 9 -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[jusqu’au 31 décembre 2021,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[jusqu’au 31 décembre 2021, ch. 8026 CIIAI]).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w:t>
      </w:r>
    </w:p>
    <w:p>
      <w:r>
        <w:t>- 10 - aux nécessités de la vie (ch. 2016 à 2018 CSI [jusqu’au 31 décembre 2021, ch. 8029 et 8030 CIIAI]). f)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g)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w:t>
      </w:r>
    </w:p>
    <w:p>
      <w:r>
        <w:t>- 11 -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h)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 4.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w:t>
      </w:r>
    </w:p>
    <w:p>
      <w:r>
        <w:t>- 12 - 5. a) En l’occurrence, l’intimé a admis le besoin d’aide régulière et importante d’un tiers concernant l’acte ordinaire de la vie consistant à « se déplacer ». La recourante ne conteste au demeurant pas qu’elle ne nécessite pas l’aide régulière et importante d’un tiers pour l’acte « manger ». Est ainsi litigieux le point de savoir si la recourante a besoin d’une aide régulière et importante pour les actes suivants : - se vêtir/dévêtir ; - faire sa toilette ; - aller aux toilettes ; - se lever/s’asseoir/se coucher. b) aa) S’agissant de l’acte « se vêtir/se dévêtir », la recourante fait valoir qu’elle dépend de l’aide d’une tierce personne pour l’habillage du haut et du bas du corps. De son côté, l’intimé soutient que l’usage d’une pince longue-main et d’un enfile-bas permettrait à la recourante d’être autonome pour s’habiller. Dans son rapport du 26 novembre 2020, l’enquêtrice a indiqué que l’époux de l’assurée l’aidait à mettre ses chaussettes et à passer le slip et le pantalon au niveau des pieds. En effet, elle ne pouvait plus toucher ses pieds du fait du volume de son ventre. Il l’aidait également à enfiler les brassières car elle ne parvenait pas à la passer au-dessus de sa tête ni à la descendre dans le dos. De plus, elle ne portait pas de soutien- gorge en raison d’une allergie au métal. D’après l’enquêtrice, l’usage d’une pince longue-main et d’un enfile-bas permettrait de réduire le dommage et d’être autonome pour l’acte « se vêtir ». Or les experts du Centre D.________ estimaient que l’intérêt de se servir d’un enfile- chaussette n’était pas avéré dans la mesure où l’assurée présentait un déficit en extension et en supination du membre supérieur droit. Outre que l’assurée n’avais jamais testé d’enfile-bas ou de pince longue-main, l’enquêtrice préconisait un apprentissage auprès d’une ergothérapeute. Quant au soutien-gorge, elle pourrait le crocher par-devant avec une</w:t>
      </w:r>
    </w:p>
    <w:p>
      <w:r>
        <w:t>- 13 - fermeture en plastique afin de limiter le risque d’allergie au métal. Pour le reste, l’assurée se dévêtait seule, tirant ses chaussettes sur le tapis seule. Compte tenu de ce qui précède, il n’y a pas lieu de reconnaître à la recourante une aide régulière et importante pour l’acte « se vêtir/se dévêtir ». bb) S’agissant de l’acte « faire sa toilette », l’enquêtrice a relevé que l’assurée se lavait seule devant le lavabo au quotidien et qu’elle se coiffait seule. En revanche, elle nécessite de l’aide pour se laver le bas des jambes, le dos et le siège ainsi que pour le transfert dans la baignoire. Le fait que la recourante demande l’aide du CMS pour se laver certaines parties du corps n’est pas décisif. En effet, malgré le manque de dextérité, on ne voit pas en quoi elle ne serait pas en mesure d’effectuer ces activités en s’aidant d’instruments d’aide adaptés (tels que l’usage d’une brosse à dos ou d’une éponge longue-main). On observe par ailleurs que le transfert dans la baignoire n’est pas systématique dans la mesure où il dépend des douleurs de la recourante et que celle-ci dispose d’une planche de bain sur la baignoire pour se doucher. Compte tenu de ce qui précède, il convient de nier que la recourante nécessite une aide régulière et importante pour l’acte « faire sa toilette ». cc) Dans son rapport du 26 novembre 2020, la personne ayant effectué l'enquête à domicile a considéré que lorsque, comme en l'espèce, la personne est autonome pour aller aux toilettes, il n'y a pas lieu de retenir d'impotence sur ce point même si, une fois par semaine environ, elle sollicite l’aide de son époux pour s’essuyer. Toutefois, en disposant d’une douchette, l’enquêtrice a retenu que l’assurée serait totalement autonome et qu’elle pourrait encore réduire le dommage en usant d’une pince pour le papier hygiénique. Outre que l’assurée n’a pas fait mention d’un besoin d’aide dans sa demande d’allocation pour impotent du 6 novembre 2017 pour l’acte « aller aux toilettes », il convient de relever que selon la</w:t>
      </w:r>
    </w:p>
    <w:p>
      <w:r>
        <w:t>- 14 - jurisprudence, il y a impotence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(TF 9C_604/2013 du 6 décembre 2013 consid. 5 et les références citées). Les exemples de situations mentionnés ci-dessus où il y a impotence en ce qui concerne l'acte « aller aux toilettes » montrent bien en quoi consiste le besoin de l'aide d'un tiers. Dans le cas d'espèce, la recourante est largement autonome. Elle n'a donc pas besoin d'une aide régulière pour uriner ou aller à selle. Même si elle a parfois besoin de l’aide de son mari pour s’essuyer, cette aide n’est ni régulière ni importante. De plus, l’installation d’une douchette serait de nature à accroître encore son autonomie. Quant à l’extérieur, l’assurée n’est pas incontinente. Si elle n’est fonctionnellement en soi pas empêchée de se rendre aux toilettes, elle pourrait bénéficier d’une clé « eurokey », qui lui permettrait d’avoir accès à des installations spécifiques de l’espace public adaptées à son handicap. Sur le vu de ce qui précède, il n’y a pas lieu de reconnaître à la recourante une aide régulière et importante pour l’acte « aller aux toilettes ». dd) S’agissant de l’acte « se lever », l’enquêtrice a retenu que l’assurée effectuait seule ses transferts. Si elle avait parfois de la difficulté à se tourner dans le lit, elle y parvenait toutefois seule sauf si elle souffrait de douleurs dorsales, auquel cas son époux l’aidait. Cette aide n’était toutefois pas régulière et importante et l’installation d’une barre latérale de redressement, évoquée par l’enquêtrice, pouvait l’aider au besoin. Compte tenu de ce qui précède, il convient de nier que la recourante nécessite une aide régulière pour l’acte « se lever », qu’elle n’a au demeurant pas invoquée dans sa demande d’allocation pour impotent du 6 novembre 2017.</w:t>
      </w:r>
    </w:p>
    <w:p>
      <w:r>
        <w:t>- 15 - c) aa) En ce qui concerne pour finir le besoin d’un accompagnement durable pour faire face aux nécessités de la vie, l’enquêtrice a relevé, dans son rapport du 26 novembre 2020, que, sans l’aide de son entourage, l’assurée ne serait pas placée dans un home. Il ressort toutefois du rapport d’expertise du Centre D.________ du 2 septembre 2020 que le mari de la recourante réalise la quasi-totalité de l’entretien du domicile de même qu’il effectue la plupart du temps le repas de midi. Dans les cas où l’assurée prépare à manger, son époux se charge de la cuisson. A cela s’ajoute qu’elle peut difficilement utiliser le lave- vaisselle ni remplir le lave-linge dès lors qu’elle ne parvient pas à se baisser. Les courses sont effectuées par le mari pendant que l’assurée l’attend au restaurant du magasin. Le couple a également recours à un assistant social du CMS pour les démarches administratives. Il sied également de relever que l’instruction mise en œuvre auprès du Centre D.________ a mis évidence un cas lourd de pathologies avec de nombreuses comorbidités somatiques et psychiques ayant conduit à la reconnaissance d’une rente d’invalidité de trois-quarts en raison des multiples limitations fonctionnelles présentées par la recourante. bb) Au vu des éléments précités, force est de retenir que la recourante n’est pas capable de vivre de manière indépendante, sans l’accompagnement d’une tierce personne et qu’elle requiert une aide constante. Dès lors, il y a lieu de s’écarter des conclusions du rapport d’enquête du 26 novembre 2020, à savoir que la recourante a besoin d’un accompagnement durable pour faire face aux nécessités de la vie. d) Sur le vu de ce qui précède, il convient de constater que la recourante a besoin d’un accompagnement durable pour faire face aux nécessités de la vie, si bien qu’elle peut prétendre une allocation pour impotent de degré faible selon l’art. 37 al. 3 let. e RAI. 6. Il convient enfin de déterminer à partir de quelle date l’allocation pour impotent de degré faible doit être versée.</w:t>
      </w:r>
    </w:p>
    <w:p>
      <w:r>
        <w:t>- 16 - a) Selon l’art. 42 al. 4 LAI (dans sa teneur en vigueur au 31 décembre 2021),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b)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c) En l’espèce, il ressort du rapport d’expertise du Centre D.________ que la recourante ne fait plus aucune activité physique depuis 2 ans, soit depuis la fracture-luxation du coude droit survenue le 25 avril 2017. Si le besoin d’accompagnement existe certes depuis 2017 (cf. rapport du CMS du 13 septembre 2021), il est toutefois avéré au jour du rapport d’expertise daté du 1er septembre 2020. Une allocation pour impotent de degré faible doit dès lors être versée à la recourante depuis le 1er septembre 2020. 7. En définitive, le recours doit être admis et la décision attaquée réformée en ce sens que la recourante a droit à une allocation pour impotent de degré faible à compter du 1er septembre 2020. 8. a) La procédure de recours en matière de contestations portant sur l’octroi ou le refus de prestations de l’assurance-invalidité est</w:t>
      </w:r>
    </w:p>
    <w:p>
      <w:r>
        <w:t>- 17 - soumise à des frais de justice (art. 69 al. 1bis LAI). Il convient de les fixer à 400 fr. et de les mettre à la charge de la partie intimée, vu l’issue du litige. b)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