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ZD21.007772 vom 21. Februar 2022</w:t>
      </w:r>
    </w:p>
    <w:p>
      <w:r>
        <w:t>VD Tribunal cantonal, 2022-02-21, FR</w:t>
      </w:r>
    </w:p>
    <w:p>
      <w:r>
        <w:rPr>
          <w:b/>
        </w:rPr>
        <w:t xml:space="preserve">Quelle: </w:t>
      </w:r>
      <w:r>
        <w:t>https://mcp.opencaselaw.ch/entscheid/vd_gerichte_ZD21.007772</w:t>
      </w:r>
    </w:p>
    <w:p>
      <w:r>
        <w:t>FR: VD_GERICHTE ZD21.007772 du 21 février 2022</w:t>
      </w:r>
    </w:p>
    <w:p>
      <w:r>
        <w:t>IT: VD_GERICHTE ZD21.007772 del 21 febbraio 2022</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ATSG-Kommentar, 2ème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w:t>
      </w:r>
    </w:p>
    <w:p>
      <w:r>
        <w:t>- 13 - l'avis des experts interpellés par l'autorité administrative (ATF 137 V 210 consid. 4.4.1.4 et 4.4.1.5). 11. a) En l’occurrence, le cas du recourant a été examiné exclusivement à l’aune des éléments qui se sont révélés pertinents pour traiter des problèmes relatifs à l’assurance-accidents. Font en conséquence défaut un tableau clinique complet et une appréciation globale de sa capacité résiduelle de travail tenant compte de l’ensemble de ses problèmes de santé. Manque également une énumération exhaustive de ses limitations fonctionnelles en lien avec l’intégralité des pathologies présentées. Il incombe à l’intimé de pallier ces défauts, conformément à son obligation d’instruire le dossier au sens entendu par l’art. 43 LPGA. b) La cause doit par conséquent être renvoyée à l’intimé pour actualisation des données médicales et, ainsi que le préconise le SMR dans son avis du 9 septembre 2021, pour mise en œuvre d’une nouvelle évaluation orthopédique. Compte tenu des atteintes dégénératives présentées par le recourant au dos, au bassin et à la hanche, il apparaît opportun de compléter cette évaluation d’une investigation rhumatologique. 12. a) Sur le vu de ce qui précède,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2’500 fr.,</w:t>
      </w:r>
    </w:p>
    <w:p>
      <w:r>
        <w:t>- 14 - débours et TVA compris (art. 10 et 11 TFJDA [tarif du 28 avril 2015 des frais judiciaires et des dépens en matière administrative ; BLV 173.36.5.1]), et de la mettre à la charge de la partie intimée.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