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ZD21.006547 vom 21. Dezember 2021</w:t>
      </w:r>
    </w:p>
    <w:p>
      <w:r>
        <w:t>VD Tribunal cantonal, 2021-12-21, FR</w:t>
      </w:r>
    </w:p>
    <w:p>
      <w:r>
        <w:rPr>
          <w:b/>
        </w:rPr>
        <w:t xml:space="preserve">Quelle: </w:t>
      </w:r>
      <w:r>
        <w:t>https://mcp.opencaselaw.ch/entscheid/vd_gerichte_ZD21.006547</w:t>
      </w:r>
    </w:p>
    <w:p>
      <w:r>
        <w:t>FR: VD_GERICHTE ZD21.006547 du 21 décembre 2021</w:t>
      </w:r>
    </w:p>
    <w:p>
      <w:r>
        <w:t>IT: VD_GERICHTE ZD21.006547 del 21 dicembre 2021</w:t>
      </w:r>
    </w:p>
    <w:p>
      <w:pPr>
        <w:pStyle w:val="Heading2"/>
      </w:pPr>
      <w:r>
        <w:t>Erwägungen</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- 9 -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c) Une décision est arbitraire (art. 9 Cst. [Constitution fédérale de la Confédération suisse du 18 avril 1999 ; RS 101]) lorsqu’elle contredit clairement la situation de fait, qu’elle viole gravement une norme ou un principe juridique clair et indiscuté ou qu’elle heurte d’une manière choquante le sentiment de la justice et de l’équité. Tel est le cas lorsque la décision litigieuse apparaît insoutenable, en contradiction manifeste avec la situation effective, adoptée sans motifs objectifs ou en violation d'un</w:t>
      </w:r>
    </w:p>
    <w:p>
      <w:r>
        <w:t>- 10 - droit certain. En outre, pour qu’une décision soit annulée au titre de l’arbitraire, il ne suffit pas qu’elle se fonde sur une motivation insoutenable; encore faut-il qu’elle apparaisse arbitraire dans son résultat (ATF 147 I 241 consid. 6.2.1).</w:t>
      </w:r>
    </w:p>
    <w:p>
      <w:r>
        <w:rPr>
          <w:b/>
        </w:rPr>
        <w:t>E. 5</w:t>
      </w:r>
    </w:p>
    <w:p>
      <w:r>
        <w:t>février 2018, du Dr F.________ du 15 février 2017, de la Dre K.________ du 18 juillet 2019 et du Prof. L.________ du 10 décembre 2019), ce dont les parties ne disconviennent pas dans leurs écritures respectives. bb) Seule la répercussion des atteintes à la santé sur la capacité de travail de l’intéressé demeure litigieuse. De ce point de vue, l’appréciation du Dr P.________ s’avère convaincante, les rapports établis par les médecins consultés par le recourant ne permettant pas d’instiller le doute sur les conclusions du rapport d’examen rhumatologique du 11 mars 2020. Pour évaluer les répercussions des diagnostics retenus sur la capacité de travail du recourant, le Dr P.________ a procédé à un examen minutieux du dossier de celui-ci sur les plans osté-oarticulaire et neurologique, ainsi qu’à un examen clinique complet. Il a également pris connaissance des différentes IRM réalisées. A cet égard, le fait que le recourant ait omis de se rendre à l’examen au SMR avec son dossier radiologique est sans incidence du fait que le Dr P.________ n’a pas mis en</w:t>
      </w:r>
    </w:p>
    <w:p>
      <w:r>
        <w:t>- 12 - doute les conclusions des radiologues et des médecins consultés par l’intéressé quant à l’interprétation du matériel radiologique. Le Dr P.________ conclut que la capacité de travail dans l’activité de chauffeur-livreur est nulle et que, dans une activité strictement adaptée aux limitations fonctionnelles, il subsiste une incapacité de travail de 50 % au vu du syndrome radiculaire irritatif et déficitaire chronique au niveau de la racine S1 à gauche, des signes de dénervation aiguë et chronique, des troubles sensiti-vomoteurs du membre inférieur gauche et de la récidive de la hernie. Le médecin- examinateur justifie aussi l’incapacité de travail retenue à la lumière des limitations fonctionnelles ostéo-articulaires au niveau du rachis et du membre supérieur droit, qui, en se surajoutant, conduisent à une baisse de rendement. Il ne retient toutefois pas une incapacité de travail supérieure en raison des bonnes ressources physiques résiduelles que le recourant conserve. Le Dr P.________ cite ainsi de nombreux exemples tirés de son anamnèse (conduire un véhicule sur de petites distances ; utilisation des transports publics ; voyage en [...] en avion ; repas pour les enfants ; intégration sociale préservée ; marche matinale de 20 à 30 minutes). En outre, l’intéressé bénéficie de l’aide de sa femme pour les tâches ménagères. cc) Il y a d’emblée lieu de souligner que les médecins consultés par le recourant admettent dans leur ensemble le principe d’une capacité de travail résiduelle dans une activité adaptée. Le Dr C.________ n’exclut pas une reprise, mais considère le taux d’activité dans une activité adaptée « difficile à estimer » (rapport du 18 août 2018). Le Dr A.________, qui a suivi son patient sur une longue période, appelle de ses vœux une reconversion professionnelle (rapports des 26 janvier et 1er mai 2017 et 5 février 2018), ce qui constitue une reconnaissance implicite d’une capacité de travail résiduelle dans une activité adaptée. Ce point de vue est confirmé par le Prof. L.________ de manière ambivalente dans son rapport du 10 décembre 2019. Il y écrit qu’il est impossible de répondre. Cependant, il admet toutefois le principe d’une capacité de travail non quantifiée dans un poste adapté. S’agissant de la quotité de la</w:t>
      </w:r>
    </w:p>
    <w:p>
      <w:r>
        <w:t>- 13 - capacité de travail résiduelle, on constate toutefois que ni le Dr A.________ ni le Prof. L.________ n’ont objectivé d’estimation détaillée et motivée. En particulier, l’estimation inférieure à 50 % retenue par le second ne repose sur aucun argument. Dès lors qu’il ne mentionne d’aucun autre trouble somatique que ceux mentionnés par le Dr P.________, le Prof. L.________ ne fait qu’une évaluation sommaire d’un même état de fait en y substituant, sans autre explication, sa propre appréciation. Ce rapport ne saurait constituer un élément propre à mettre en doute les conclusions motivées du Dr P.________. dd) Le Dr P.________ relève également des difficultés sociales, notamment au niveau financier. Quant au Prof. L.________ (rapport du</w:t>
      </w:r>
    </w:p>
    <w:p>
      <w:r>
        <w:rPr>
          <w:b/>
        </w:rPr>
        <w:t>E. 10</w:t>
      </w:r>
    </w:p>
    <w:p>
      <w:r>
        <w:t>a) Sur le vu de ce qui précède, le recours doit être partiellement admis. La décision du 8 janvier 2021 est annulée en ce qu’elle porte sur le droit aux mesures professionnelles du recourant, la cause étant renvoyée à l’intimé pour complément d’instruction dans le sens des considérants, puis nouvelle décision. Elle est confirmée pour le surplus. b) La procédure de recours en matière de contestations portant sur l’octroi ou le refus de prestations de l’assurance-invalidité est soumise à des frais de justice (art. 69 al. 1bis LAI). Il convient de les fixer à 600 fr. et de les mettre à la charge du recourant par 400 fr. et de l’intimé par 200 francs. c) La partie recourante obtient partiellement gain de cause et a droit à une indemnité de dépens réduits à titre de participation aux honoraires de son conseil (art. 61 let. g LPGA). Il convient d’arrêter cette indemnité réduite à 1'000 fr., débours et TVA compris (art. 10 et 11 TFJDA [tarif du 28 avril 2015 des frais judiciaires et des dépens en matière administrative ; BLV 173.36.5.1]), et de la mettre à la charge de la partie intimée. La partie recourante est au bénéfice de l’assistance judiciaire. Les frais judiciaires mis à sa charge sont donc provisoirement supportés par l’Etat et Me Merényi peut prétendre une équitable indemnité pour son mandat d’office, qu’il convient de fixer à 2'401 fr. 95, débours et TVA compris (art. 2, 3 al. 2 et 3bis RAJ [règlement cantonal du 7 décembre 2010 sur l’assistance judiciaire en matière civile ; BLV 211.02.3]).</w:t>
      </w:r>
    </w:p>
    <w:p>
      <w:r>
        <w:t>- 28 -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