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ZD21.002639 vom 8. Februar 2023</w:t>
      </w:r>
    </w:p>
    <w:p>
      <w:r>
        <w:t>VD Tribunal cantonal, 2023-02-08, FR</w:t>
      </w:r>
    </w:p>
    <w:p>
      <w:r>
        <w:rPr>
          <w:b/>
        </w:rPr>
        <w:t xml:space="preserve">Quelle: </w:t>
      </w:r>
      <w:r>
        <w:t>https://mcp.opencaselaw.ch/entscheid/vd_gerichte_ZD21.002639</w:t>
      </w:r>
    </w:p>
    <w:p>
      <w:r>
        <w:t>FR: VD_GERICHTE ZD21.002639 du 8 février 2023</w:t>
      </w:r>
    </w:p>
    <w:p>
      <w:r>
        <w:t>IT: VD_GERICHTE ZD21.002639 del 8 febbraio 2023</w:t>
      </w:r>
    </w:p>
    <w:p>
      <w:pPr>
        <w:pStyle w:val="Heading2"/>
      </w:pPr>
      <w:r>
        <w:t>Erwägungen</w:t>
      </w:r>
    </w:p>
    <w:p>
      <w:r>
        <w:rPr>
          <w:b/>
        </w:rPr>
        <w:t>E. 29</w:t>
      </w:r>
    </w:p>
    <w:p>
      <w:r>
        <w:t>al. 1 LAI). Partant, la rente entière d’invalidité est due à compter du sixième mois après le dépôt de la demande de prestations, soit dès le 22 novembre 2017, reporté au 1er novembre 2017 (art. 29 al. 3 LAI). 8. En définitive, le recours doit être admis et la décision attaquée réformée, en ce sens qu’U.________ a droit à une rente entière d’invalidité à compter du 1er novembre 2017. 9. 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w:t>
      </w:r>
    </w:p>
    <w:p>
      <w:r>
        <w:t>- 22 - La liste des opérations produite par Me Jaques le 20 octobre 2022 ne peut pas être intégralement suivie. En effet, l’activité déployée dépasse ce qu’admet la pratique de la Cour dans l’estimation du temps objectivement requis pour le traitement de cas de ce genre eu égard à l’importance et à la complexité du litige. Partant, il convient de retenir 25 heures de prestations d’avocat rémunérées au tarif horaire de 180 fr., ce qui correspond à un montant total d’honoraires de 4'500 fr. auquel il y a lieu d’ajouter les débours et la TVA de 7,7 %. L’indemnité totale sera donc arrêtée à 5'088 fr. 85 (art. 2, 3 al. 1 et 3bis RAJ [règlement cantonal du 7 décembre 2010 sur l’assistance judiciaire en matière civile ; BLV 211.02.3]). Cette rémunération n’est que partiellement couverte par les dépens devant être acquittés par l’intimé, de sorte que le solde à hauteur de 2'588 fr. 85 est provisoirement supporté par l’Etat (cf. art. 122 al. 2 CPC, applicable par renvoi de l’art. 18 al. 5 LPA-VD). Le recourant est rendu attentif au fait qu’il est tenu de rembourser la somme de 2'588 fr. 85 dès qu’il sera en mesure de le faire en vertu de l’art. 123 al. 1 CPC précité. Il incombera à la Direction générale des affaires institutionnelles et des communes d’en fixer les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