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ZD20.049283 vom 10. Dezember 2021</w:t>
      </w:r>
    </w:p>
    <w:p>
      <w:r>
        <w:t>VD Tribunal cantonal, 2021-12-10, FR</w:t>
      </w:r>
    </w:p>
    <w:p>
      <w:r>
        <w:rPr>
          <w:b/>
        </w:rPr>
        <w:t xml:space="preserve">Quelle: </w:t>
      </w:r>
      <w:r>
        <w:t>https://mcp.opencaselaw.ch/entscheid/vd_gerichte_ZD20.049283</w:t>
      </w:r>
    </w:p>
    <w:p>
      <w:r>
        <w:t>FR: VD_GERICHTE ZD20.049283 du 10 décembre 2021</w:t>
      </w:r>
    </w:p>
    <w:p>
      <w:r>
        <w:t>IT: VD_GERICHTE ZD20.049283 del 10 dicembre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une rente de l’assurance-invalidité.</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- 18 -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w:t>
      </w:r>
    </w:p>
    <w:p>
      <w:r>
        <w:t>- 19 -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w:t>
      </w:r>
    </w:p>
    <w:p>
      <w:r>
        <w:t>- 20 - pour qualifier un état de fait (ATF 125 V 351 consid. 3b, en particulier 3b/aa et 3b/bb). Pour remettre en cause la valeur probante d’une expertise médicale, il appartient à la personne assurée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9C_268/2011 du 26 juillet 2011 consid. 6.1.2 et les références cités). Cela vaut également lorsqu’un ou plusieurs médecins ont émis une opinion divergeant de celle de l’expert (TF 9C_268/2011 du 26 juillet 2011 consid. 6.1.2 et les références citées).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8C_84/2018 du 1er février 2019 consid. 5.2 ; 9C _803/2013 du 13 février 2014 consid. 3.1 ; TF 9C_298/2009 du 3 février 2010 consid. 2.2). c)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5</w:t>
      </w:r>
    </w:p>
    <w:p>
      <w:r>
        <w:t>L’intimé fonde sa décision sur les constatations des médecins de la Clinique N.________. La recourante conteste la valeur probante de leur expertise, en s’appuyant sur les critiques émises par le Dr Z.________.</w:t>
      </w:r>
    </w:p>
    <w:p>
      <w:r>
        <w:t>- 21 - Elle se réfère par ailleurs aux appréciations de ce médecin et de la Dre B.________ relatives à sa capacité résiduelle de travail. a) L’expertise de la Clinique N.________ remplit tous les réquisits de la jurisprudence, dès lors qu’elle se fonde sur des examens complets, que les experts ont pris en considération les plaintes exprimées par la recourante, qu’ils ont eu connaissance de l’ensemble du dossier, qu’ils ont décrit le contexte médical, présenté leur appréciation de la situation médicale de manière claire et motivé leurs conclusions. Ceux-ci ont en outre été désignés conformément à l’art. 44 LPGA. b) Le Dr Z.________ critique l’expertise de la Clinique N.________ en observant que la réfutation du diagnostic de spondylarthrite par les experts reposerait « avant tout » sur l’absence de HLA B27. Cette remarque est toutefois inexacte, puisque les experts de la Clinique N.________ ont pris en considération un ensemble de critères et procédé à une analyse globale pour finalement réfuter le diagnostic de spondylarthrite. Le Dr Z.________ reproche également aux experts d’avoir négligé un rapport du Dr G.________ faisant état de constatations radiologiques compatibles avec une spondylarthrite. Or, si le Dr G.________ a bien fait état, dans un rapport du 18 mai 2015, de lésions séquellaires de sacroiliite et d’enthésopathie au niveau lombaire, il a précisé qu’il n’y avait pas d’évidence de lésion floride lors de l’examen, si ce n’est discrètement au niveau des éléments postérieurs lombaires. Le tout était compatible avec une sacroiliite, qui était toutefois « de nature actuellement quiescente étant donné l’absence de trouble dégénératif associé à ces mêmes niveaux ». Ce médecin ne s’est toutefois pas déterminé sur une spondylarthrite ankylosante dans ce rapport. En revanche, il a constaté qu’il n’y avait « pas d’évidence d’argument » pour une telle atteinte dans un rapport d’examen du 4 mai 2017. Le Dr Z.________ fait ensuite grief aux experts d’avoir constaté qu’il n’avait jamais été fait mention d’un épisode d’arthrite, d’une dactylite</w:t>
      </w:r>
    </w:p>
    <w:p>
      <w:r>
        <w:t>- 22 - ou d’un quelconque épanchement articulaire, alors qu’il avait pour sa part constaté, en page 3 de son rapport du 2 août 2018, qu’elle présentait « indiscutablement des arthrites périphériques (synovites) à l’examen clinique ». Le Dr Z.________ tire toutefois hors de son contexte le constat litigieux auquel il se réfère. C’est en effet pour répondre à l’argumentation, présentée précédemment par le Dr Z.________ ou la Dre B.________, d’après laquelle l’absence de signe inflammatoire tant au plan axial que clinique et biologique pouvait être expliquée par un traitement en cours, que les experts ont mentionné l’absence d’épisode d’arthrite, de dactylite ou d’un quelconque épanchement articulaire « avant le diagnostic ». Ils n’avaient donc pas à mentionner, à ce stade, les constatations faites par le Dr Z.________ en 2018. Au demeurant, si le Dr Z.________ conclut effectivement à la présence « indiscutable » d’arthrites périphériques en page 3 de son rapport du 2 août 2018, il décrit celle-ci, lorsqu’il présente le résultat de l’examen clinique dans la page précédente, seulement comme « des synovites discrètes des MCP [articulations métacarpiennes] 3 et 4 à droite, et 2 et 3 à gauche, ainsi qu’un petit flot et empâtement du genou D[roit] ». Cependant, les autres rapports médicaux au dossier n’en font pas état et les experts ont, pour leur part, constaté l’absence de synovite ou de dactylite, tant au niveau des membres supérieurs que des membres inférieurs (expertise, p. 16). Les experts ont effectué une échographie articulaire – examen que le Dr Z.________ n’a pas pratiqué – et constaté qu’elle ne démontrait aucun signe d’enthésite inflammatoire active au niveau de l’insertion du tendon d’Achille ni en regard de l’enthèse plantaire, des deux côtés. Le Dr Z.________ allègue enfin que les experts n’auraient pas tenu compte d’un psoriasis dont serait affecté un oncle de la recourante et qu’ils auraient apprécié la capacité résiduelle de l’intéressée en négligeant les scores « Basdai » et « Basfi ». Certes, les experts n’ont pas fait mention, dans la discussion portant sur le diagnostic, en page 18 de l’expertise, d’un psoriasis chez un oncle de l’assurée. Toutefois, au vu de l’analyse globale effectuée par les experts et de leur argumentation pondérée, l’absence de rappel de cet antécédent familial dans cette partie de l’expertise n’est pas de nature à permettre de douter de la pertinence</w:t>
      </w:r>
    </w:p>
    <w:p>
      <w:r>
        <w:t>- 23 - de cette analyse et de la valeur probante des constatations des experts, étant au demeurant relevé qu’il a été mentionné en page 13, dans l’anamnèse familiale. Pour le surplus, contrairement à ce qu’avance le Dr Z.________, les experts ont fait état de scores de 88 et 8,275 fondés sur les réponses de l’assurée aux questionnaires « BASFI » et « BASDAI », ainsi que d’un score « BASMI » de 3/10 (expertise, p. 16). Il convient par ailleurs de relever que les questionnaires BASFI et BASMI sont des outils diagnostics parmi d’autres, qui reposent essentiellement sur une évaluation subjective de ses limitations et douleurs par la personne assurée. A nouveau, force est de constater qu’en ne privilégiant pas cette seule approche diagnostique, mais en procédant à une analyse plus globale de l’ensemble des indices au dossier, les experts ont motivé leurs constatations de manière probante. Il en va de même de leur appréciation relative à la capacité résiduelle de travail de la recourante, qui repose par ailleurs sur une approche pluridisciplinaire, la mieux à même de cerner cette capacité résiduelle de travail aussi objectivement que possible. c) Ainsi, au vu de ce qui précède, les constatations des experts de la Clinique N.________ revêtent une pleine valeur probante et les critiques émises par le Dr Z.________ ne justifient pas de s’en écarter, ni de mettre en œuvre une nouvelle expertise. L’intimé s’est donc fondé à juste titre sur les résultats de leur expertise pour déterminer la capacité de travail de l’assurée et son évolution dans le temps.</w:t>
      </w:r>
    </w:p>
    <w:p>
      <w:r>
        <w:rPr>
          <w:b/>
        </w:rPr>
        <w:t>E. 6</w:t>
      </w:r>
    </w:p>
    <w:p>
      <w:r>
        <w:t>La recourante critique par ailleurs le calcul du degré d’invalidité, en pointant le fait qu’un abattement supplémentaire de 20 à 25 % aurait dû être opéré sur le revenu avec invalidité. a) Conformément à l’art. 16 LPGA, le taux d’invalidité est déterminé par comparaison des revenus avec et sans invalidité (cf. consid. 3b ci-dessus). aa) Le revenu sans invalidité doit être évalué de la manière la plus concrète possible. Il se déduit en règle générale du salaire réalisé avant l’atteinte à la santé, en l’adaptant toutefois à son évolution</w:t>
      </w:r>
    </w:p>
    <w:p>
      <w:r>
        <w:t>- 24 -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l’assuré dispose encore d’une capacité de travail dans son activité habituelle, le taux d’invalidité est identique au taux de l’incapacité de travail. Cela ne laisse plus de place à la prise en compte d’un éventuel abattement, lequel ne peut s’opérer que si le revenu d’invalide est déterminé au moyen des données statistiques de l’ESS (application de la méthode de la comparaison en pour-cent ; TF 9C_888/2011 du 13 juin 2012 consid. 4.4 ; 9C_137/2010 du 19 avril 2010 ; 9C_396/2009 du 12 février 2010 consid. 3.2). b) En l’espèce, les experts de la Clinique N.________ ont conclu que, sous réserve d’une période d’incapacité de travail totale en lien avec une problématique psychique, la recourante présente une capacité de travail résiduelle de 70 % dans son activité habituelle. A cet égard, l’intéressée fait valoir que ses importantes limitations fonctionnelles sont dissuasives pour tout employeur, indépendamment de la diminution de sa</w:t>
      </w:r>
    </w:p>
    <w:p>
      <w:r>
        <w:t>- 25 - capacité de travail, et qu’il faut en tenir compte dans la détermination du revenu d’invalide. Cette argumentation tombe à faux. En effet, comme déjà relevé précédemment, les experts ont déterminé la capacité de travail résiduelle de la recourante en tenant compte de l’ensemble de ses atteintes à la santé et des limitations fonctionnelles qui en découlent, dont en particulier sa fatigabilité accrue. Dans ce contexte, ils ont observé que son activité habituelle était compatible avec sa capacité de travail résiduelle. Par conséquent, l’intimé a constaté à juste titre que le taux d’invalidité, identique au taux d’incapacité de travail, est de 30 %, respectivement de 100 % sur la période du 15 septembre 2017 au 21 août 2018. Le recours aux statistiques étant exclu, aucun abattement supplémentaire ne peut être appliqué.</w:t>
      </w:r>
    </w:p>
    <w:p>
      <w:r>
        <w:rPr>
          <w:b/>
        </w:rPr>
        <w:t>E. 7</w:t>
      </w:r>
    </w:p>
    <w:p>
      <w:r>
        <w:t>Dans sa réponse, l’intimé a exposé avoir commis une erreur en allouant une rente entière d’invalidité dès le 1er novembre 2017 et a conclu à la réforme de la décision dans le sens de l’octroi d’un quart de rente dès le 1er novembre 2017, puis d’une rente entière du 1er février au 30 novembre 2018. Il a joint une fiche de calcul intitulée « calcul de l’invalidité moyenne ». Le raisonnement de l’intimé ne peut être suivi, dès lors qu’il se fonde sur une notion d’invalidité moyenne dépourvue de base légale (cf. AI 29/20 - 337/2020 du 5 octobre 2020 consid. 5). Certes, l’art. 28 al. 1 let. b LAI pose la notion d’incapacité de travail moyenne pour calculer le délai de carence d’une année et donc la date de l’ouverture du droit à la rente. En revanche, l’art. 28 al. 1 let. c LAI détermine l’étendue du droit à la rente en se référant au taux d’invalidité existant au moment où le délai arrive à échéance. Il n’est pas question à ce stade d’un taux moyen d’incapacité de travail, et encore moins d’un taux moyen d’invalidité, sur une année. Par ailleurs, le délai d’une année de l’art. 28 al. 1 let. b LAI, qui se calcule en jours, sur une base de trois cent soixante-cinq jours, commence à courir lorsque l’assuré a subi une diminution sensible de son rendement dans son activité professionnelle ou dans ses travaux</w:t>
      </w:r>
    </w:p>
    <w:p>
      <w:r>
        <w:t>- 26 - habituels, ce qui est déjà le cas d’une réduction de la capacité de travail de 20 % (TF 9C_1018/2010 du 12 mai 2011 consid. 3.2). Or, dans le cas d’espèce, où le taux d’invalidité se confond avec le taux d’incapacité de travail, il apparaît que le délai de carence d’une année a débuté le 22 novembre 2016, date à partir de laquelle une diminution de la capacité de travail de 30 % a été reconnue par les experts de la Clinique N.________. Lorsque ce délai a pris fin, le 21 novembre 2017, l’incapacité de travail moyenne s’élevait à 43 % (297 jours à 30 % et 68 jours à 100 %, sur un total de 365 jours), ouvrant donc le droit à une rente dès le 1er novembre 2017. Par ailleurs, au 21 novembre 2017, la recourante présentait une incapacité de travail de 100 %, et donc un taux d’invalidité du même ordre, qui a perduré jusqu’au 21 août 2018, date à partir de laquelle l’incapacité de travail, respectivement le taux d’invalidité, sont redescendus à 30 %. C’est donc à juste titre que le droit à une rente entière d’invalidité a été reconnu à la recourante jusqu’au 30 novembre 2018 (art. 88a al. 1 RAI), la décision litigieuse n’étant pas entachée d’erreur sur ce point. Au demeurant, même si l’on devait suivre le raisonnement de l’intimé, il devrait être renoncé à la modification requise. En effet, si l’art. 61 let. d LPGA permet, en principe, de réformer une décision au détriment du recourant, il ne s’agit en réalité que d’une simple possibilité laissée au tribunal. Le tribunal n'opte pour une reformatio in pejus qu’avec retenue, en particulier si des questions d’opportunité ou d’appréciation sont en jeu (cf. Jean Métral, Commentaire romand de la loi sur la partie générale du droit des assurances sociales, Bâle 2018, n. 77 ad art. 61 LPGA). En l’occurrence, la période considérée porte sur trois mois seulement. Compte tenu des difficultés et incertitudes liées à la fixation, rétroactivement, d’une capacité résiduelle de travail pour une assurée présentant un tableau clinique tel que celui de la recourante, une telle reformatio in pejus s’avèrerait inappropriée.</w:t>
      </w:r>
    </w:p>
    <w:p>
      <w:r>
        <w:rPr>
          <w:b/>
        </w:rPr>
        <w:t>E. 8</w:t>
      </w:r>
    </w:p>
    <w:p>
      <w:r>
        <w:t>a) En conclusion, le recours, mal fondé, doit être rejeté et la décision litigieuse confirmée, sans qu’il y ait lieu de compléter l’instruction par la mise en œuvre d’une expertise pluridisciplinaire comme le requiert</w:t>
      </w:r>
    </w:p>
    <w:p>
      <w:r>
        <w:t>- 27 - la recourante. En effet, le dossier est complet et permet à la Cour de céans de statuer en pleine connaissance de cause (appréciation anticipée des preuves ; ATF 130 II 425 c. 2.1 ; 122 II 464 consid. 4a).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