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ZD20.046912 vom 6. Oktober 2021</w:t>
      </w:r>
    </w:p>
    <w:p>
      <w:r>
        <w:t>VD Tribunal cantonal, 2021-10-06, FR</w:t>
      </w:r>
    </w:p>
    <w:p>
      <w:r>
        <w:rPr>
          <w:b/>
        </w:rPr>
        <w:t xml:space="preserve">Quelle: </w:t>
      </w:r>
      <w:r>
        <w:t>https://mcp.opencaselaw.ch/entscheid/vd_gerichte_ZD20.046912</w:t>
      </w:r>
    </w:p>
    <w:p>
      <w:r>
        <w:t>FR: VD_GERICHTE ZD20.046912 du 6 octobre 2021</w:t>
      </w:r>
    </w:p>
    <w:p>
      <w:r>
        <w:t>IT: VD_GERICHTE ZD20.046912 del 6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Le recours interjeté le 24 novembre 2020 contre la décision du 26 octobre 2020 a été déposé en temps utile auprès du tribunal compétent (art. 93 let. a LPA-VD [loi cantonale vaudoise du 28 octobre 2008 sur la procédure administrative ; BLV 173.36]) et respecte les autres conditions formelles prévues par la loi (art. 61 let. b LPGA notamment) ; il est ainsi recevable. c) Le 11 janvier 2021, le recourant a demandé qu’il soit statué également sur le recours interjeté contre la décision de l’intimé du 15 décembre 2017. aa) Aux termes de l’art. 5 al. 3 Cst. (Constitution fédérale de la Confédération suisse du 18 avril 1999 ; RS 101),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136 I 254 consid. 5.2 ; 134 V 306 consid. 4.2 et la référence citée ; Pierre Moor/Alexandre Flückiger/Vincent Martenet, Droit administratif, volume I : Les fondements, Berne 2012, ch. 6.4.1.1 p. 918). Il découle également de l’art. 5 al. 3 Cst. que les particuliers doivent de manière générale, sauf délai fixé par la loi, faire valoir leurs prétentions</w:t>
      </w:r>
    </w:p>
    <w:p>
      <w:r>
        <w:t>- 9 - dans un laps de temps raisonnable (Moor/Flückiger/Martenet, op. cit., ch. 6.4.3 p. 932). bb) L’art. 49 LPGA prévoit notamment que l’assureur doit rendre par écrit les décisions qui portent sur des prestations, créances ou injonctions importantes ou avec lesquelles l’intéressé n’est pas d’accord (al. 1) et indiquer des voies de droit (al. 2). Aux termes de l'art. 51 al. 1 LPGA, les prestations, créances ou injonctions qui ne sont pas visées à l'art. 49 al. 1 peuvent être traitées selon une procédure simplifiée.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Le Tribunal fédéral a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cc) En l’espèce, le recourant a contesté la décision du 15 décembre 2017 de l’intimé dans le délai de recours de trente jours, mais a adressé sa contestation à la Caisse de compensation AVS/AI/APG de K.________, qui l’a transmise à l’intimé, sans que ce dernier ne le transmette à son tour à la Cour de céans. Si l’intimé aurait certes dû transmettre le recours au tribunal, il y a lieu de constater que le recourant n’a pas réagi, ni demandé de nouvelles de la procédure de recours pendant plus de trois ans. Il n’y a non plus eu aucune réaction ou contestation de sa part lorsque l’intimé l’a avisé le 18 octobre 2019, puis le 16 janvier 2020, que la décision en question était entrée en force faute de recours déposé auprès du tribunal cantonal. Le recourant aurait dû s’opposer à ces avis, ce qu’il n’a pas fait pendant plus d’un an, laissant croire par son attitude qu’il consentait au constat selon lequel la décision</w:t>
      </w:r>
    </w:p>
    <w:p>
      <w:r>
        <w:t>- 10 - du 15 décembre 2017 était définitive et entrée en force. Ainsi, l’inaction du recourant pendant plus de trois ans ne respecte pas le principe de la bonne foi et se prévaloir à ce stade de l’absence de transmission de son recours auprès de l’autorité compétente relève de l’abus de droit, faute de contestation dans un délai raisonnable du constat que la décision du 15 décembre 2017 était entrée en force. Le recours déposé contre la décision du 15 décembre 2017 est par conséquent irrecevable. Même s’il avait été recevable, il aurait de toute manière dû être rejeté pour les motifs mentionnés au considérant 2 ci-dessous.</w:t>
      </w:r>
    </w:p>
    <w:p>
      <w:r>
        <w:rPr>
          <w:b/>
        </w:rPr>
        <w:t>E. 2</w:t>
      </w:r>
    </w:p>
    <w:p>
      <w:r>
        <w:t>Dans sa décision du 15 décembre 2017, l’intimé a nié le droit aux mesures médicales, au motif que les conditions de l’art. 13 LAI n’étaient pas réalisées.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Sont réputées infirmités congénitales les infirmités présentes à la naissance accomplie de l’enfant (art. 1 al. 1 OIC) et qui figurent dans la liste annexée à l’OIC (art. 1 al. 2, première phrase, OIC).</w:t>
      </w:r>
    </w:p>
    <w:p>
      <w:r>
        <w:t>- 11 - Selon le chiffre 404 de cette liste, jugé conforme à la loi par le Tribunal fédéral (ATF 122 V 113 consid. 1b), constituent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Ces symptômes ne doivent pas nécessairement apparaître simultanément, mais peuvent, selon les circonstances, survenir les uns après les autres. Si, jusqu’au jour où l’enfant atteint l’âge de neuf ans, seuls certains symptômes indiqués sont médicalement attestés, les conditions du chiffre 404 OIC ne sont pas remplies (Circulaire de l’Office fédéral des assurances sociales concernant les mesures médicales de réadaptation de l’AI, CMRM, ch. 404.5 et Annexe 7 ch. 2.1 ; cf. également TF 9C_622/2016 du 30 mars 2017 consid. 4.2.1).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 TF 9C_105/2013 du 8 juillet 2013 consid. 2.2 ; TFA I 115/03 du 13 avril 2004 consid. 3). Ainsi, sur le plan temporel, si l’infirmité doit exister à la naissance, le moment où elle est reconnue comme telle n’est pas déterminant (art. 1 al. 1, 3ème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w:t>
      </w:r>
    </w:p>
    <w:p>
      <w:r>
        <w:rPr>
          <w:b/>
        </w:rPr>
        <w:t>E. 3</w:t>
      </w:r>
    </w:p>
    <w:p>
      <w:r>
        <w:t>Il reste à examiner le droit aux mesures médicales sous l’angle de l’art. 12 LAI, dès lors que le recours dirigé contre la décision rendue le 26 octobre 2020 est recevable.</w:t>
      </w:r>
    </w:p>
    <w:p>
      <w:r>
        <w:t>- 14 -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w:t>
      </w:r>
    </w:p>
    <w:p>
      <w:r>
        <w:t>- 15 -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 TF 9C_1074/2009 du 30 septembre 2010 consid. 2). Le Tribunal fédéral a encore jugé que l'amélioration de la capacité de gain par une mesure médicale peut déjà être qualifiée</w:t>
      </w:r>
    </w:p>
    <w:p>
      <w:r>
        <w:t>- 16 - d'importante, au sens de l'art. 12 LAI, lorsqu'il est possible de prévoir que l'assuré devenu majeur sera capable, grâce à la mesure préconisée, de gagner mensuellement quelques centaines de francs, le cas échéant en travaillant dans un atelier protégé (cf. TF I 408/06 du 15 mars 2007 consid. 4.2 in fine et les références).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Selon le ch. 32 CMRM les critères cumulatifs à prendre en considération lorsqu’il s’agit d’appliquer l’art. 12 LAI sont les suivants :</w:t>
      </w:r>
    </w:p>
    <w:p>
      <w:r>
        <w:t>- 17 - L’invalidité doit être avérée ou probable. La mesure médicale ne peut pas être prévue pour une longue durée indéterminée. Il ne doit pas y avoir d’affections secondaires importantes susceptibles de leur côté de diminuer la capacité de gain.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[règlement fédéral du 17 janvier 1961 sur l’assurance-invalidité ; RS 831.201]). Les prestations octroyées doivent être économiques. Il faut que la décision de l’office AI permette de connaître le genre, la durée (horizon temporel) et le volume (intensité et/ou fréquence, nombre et durée des séances) et le but de la prestation, sachant qu’une mesure médicale doit autant que possible être coordonnée avec les médecins qui ont traité le patient jusque-là. Un contrôle de la réussite thérapeutique du traitement, associant les médecins traitants, doit être effectué régulièrement. Les infirmités congénitales de peu d’importance ne permettent pas de fonder un droit à des prestations. Il doit exister un rapport raisonnable et acceptable entre les dépenses et le succès de la mesure. Le succès de la réadaptation ne saurait à lui seul représenter un critère valable de délimitation dans le cadre de l’art. 12 LAI. Un acte thérapeutique qui a pour seul effet d’inhiber les symptômes ne peut pas être reconnu comme une mesure médicale au sens de l’art. 12 LAI, même s’il est indispensable en vue d’une insertion scolaire ou professionnelle (TF 8C_106/2014 du 9 avril 2014 consid.5.2).</w:t>
      </w:r>
    </w:p>
    <w:p>
      <w:r>
        <w:t>- 18 - Chez les mineurs, une psychothérapie ne peut être à charge de l’assurance-invalidité que si elle n'a pas de caractère durable (TF 8C_106/2014 du 9 avril 2014 consid. 5.2 ; 8C_269/2010 du 12 août 2010 consid. 2.2). c) En l’espèce, le Dr G.________ a indiqué en décembre 2019 que le recourant continuait à avoir besoin d’un traitement psychiatrique et psychothérapeutique intégré incluant l’administration d’un psychostimulant associé à une psychothérapie. Il avait objectivé une nette amélioration des troubles du TDA-H sous traitement psychostimulant de méthylphénidate, mais le pronostic était encore réservé et il estimait que de nouvelles évaluations médicales ultérieures pourraient aider à se prononcer sur le pronostic. Interpellé par l’intimé sur la durée prévisible du traitement, le Dr G.________ n’a pas été en mesure de répondre de manière précise, puisqu’il a indiqué le 7 septembre 2020 que la durée de la psychothérapie était encore imprévisible, en précisant que ce suivi devrait se poursuivre au moins jusqu’à la majorité. En novembre 2016, le Dr A.________ avait aussi observé une amélioration du comportement du recourant et des résultats scolaires avec la prise de Ritaline, mais sans se déterminer sur la durée prévisible du traitement. Les rapports des autres praticiens consultés ne contiennent pas d’indications sur la durée prévue des mesures médicales. Au vu de ce qui précède, il y a lieu de constater que la durée des mesures médicales n’est pas déterminée et reste aléatoire. Elle dépendra d’une évolution favorable de l’état de santé, dont on ne peut pas dire si elle se réalisera ou non et, le cas échéant, quand. Par ailleurs, il ressort des informations reçues du Dr G.________ que la thérapie est destinée à traiter l’affection comme telle et ses conséquences. Ce spécialiste a indiqué que la thérapie utilisait une approche cognitivo-comportementale agissant sur le comportement, les pensées et les émotions. L’objectif du traitement psychothérapeutique était de permettre au recourant de modifier son comportement afin de favoriser chez lui la recherche de stratégies réfléchies non-impulsives et non violentes face à la difficulté et de favoriser le maintien de relations interpersonnelles stables dans son environnement, notamment scolaire.</w:t>
      </w:r>
    </w:p>
    <w:p>
      <w:r>
        <w:t>- 19 - La thérapie visait aussi à améliorer l’estime du recourant et sa confiance en lui. La thérapie devait en outre lui permettre d’améliorer ses capacités organisationnelles. Les relations entre le thérapeute et l’entourage du recourant garantissait en outre une amélioration de la communication avec les partenaires du recourant dans le but de réduire le niveau d’anxiété du recourant. Au vu de ce qui précède, les conditions d’octroi de mesures médicales au sens de l’art. 12 LAI ne sont pas réalisées et l’intimé était fondé à les refuser.</w:t>
      </w:r>
    </w:p>
    <w:p>
      <w:r>
        <w:rPr>
          <w:b/>
        </w:rPr>
        <w:t>E. 4</w:t>
      </w:r>
    </w:p>
    <w:p>
      <w:r>
        <w:t>La demande du recourant tendant à la comparution du Dr A.________ doit être rejetée. Ses rapports médicaux figurent au dossier et il ne suit plus l’enfant depuis 2016, de sorte que son audition n’aurait aucune incidence sur l’issue du litige sous l’angle de l’art. 12 LAI, ni sur le recours fondé sur l’application de l’art. 13 LAI lequel est irrecevable.</w:t>
      </w:r>
    </w:p>
    <w:p>
      <w:r>
        <w:rPr>
          <w:b/>
        </w:rPr>
        <w:t>E. 5</w:t>
      </w:r>
    </w:p>
    <w:p>
      <w:r>
        <w:t>a) En conclusion, le recours contre la décision du 15 décembre 2017 est irrecevable et le recours dirigé contre la décision du 26 octobre 2020 est rejeté. b) La procédure de recours en matière de contestations portant sur l’octroi ou le refus de prestations de l’assurance-invalidité est soumise à des frais de justice (art. 69 al. 1bis première phrase LAI). Il convient de les fixer à 200 fr. et de les mettre à la charge du recourant, vu le sort de ses conclusions. c) Il n’y a par ailleurs pas lieu d’allouer de dépens, le recourant n’obtenant pas de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