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ZD20.046909 vom 14. Dezember 2022</w:t>
      </w:r>
    </w:p>
    <w:p>
      <w:r>
        <w:t>VD Tribunal cantonal, 2022-12-14, FR</w:t>
      </w:r>
    </w:p>
    <w:p>
      <w:r>
        <w:rPr>
          <w:b/>
        </w:rPr>
        <w:t xml:space="preserve">Quelle: </w:t>
      </w:r>
      <w:r>
        <w:t>https://mcp.opencaselaw.ch/entscheid/vd_gerichte_ZD20.046909</w:t>
      </w:r>
    </w:p>
    <w:p>
      <w:r>
        <w:t>FR: VD_GERICHTE ZD20.046909 du 14 décembre 2022</w:t>
      </w:r>
    </w:p>
    <w:p>
      <w:r>
        <w:t>IT: VD_GERICHTE ZD20.046909 del 14 dicembre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w:t>
      </w:r>
    </w:p>
    <w:p>
      <w:r>
        <w:t>- 7 - recours devant le tribunal des assurances du siège de l’office concerné (art. 56 al. 1 LPGA et art. 69 al. 1 let. a LAI ; étant précisé que le départ de Suisse de la recourante, en date du 31 octobre 2021, n’a ainsi aucune incidence sur la compétence de la Cour de céans),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L’objet du litige porte sur le droit à une rente d’invalidité de la recourante, singulièrement la capacité de travail résiduelle qui lui serait imputable.</w:t>
      </w:r>
    </w:p>
    <w:p>
      <w:r>
        <w:rPr>
          <w:b/>
        </w:rPr>
        <w:t>E. 3</w:t>
      </w:r>
    </w:p>
    <w:p>
      <w:r>
        <w:t>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 invalidité [RAI], modification du 3 novembre 2021, RO 2021 706). Conformément aux principes généraux en matière de droit transitoire, l'ancien droit reste en l'espèce applicable, au vu de la date de la décision litigieuse rendue le 28 octobre 2020 (ATF 144 V 210 consid. 4.3.1 ; 138 V 176 consid. 7.1 ; TF 9C_881/2018 du 6 mars 2019 consid. 4.1).</w:t>
      </w:r>
    </w:p>
    <w:p>
      <w:r>
        <w:rPr>
          <w:b/>
        </w:rPr>
        <w:t>E. 4</w:t>
      </w:r>
    </w:p>
    <w:p>
      <w:r>
        <w:t>a) L’invalidité se définit comme l’incapacité de gain totale ou partielle qui est présumée permanente ou de longue durée et qui résulte d’une infirmité congénitale, d’une maladie ou d’un accident (art. 4 al. 1 LAI et</w:t>
      </w:r>
    </w:p>
    <w:p>
      <w:r>
        <w:rPr>
          <w:b/>
        </w:rPr>
        <w:t>E. 8</w:t>
      </w:r>
    </w:p>
    <w:p>
      <w:r>
        <w:t>a) En définitive, le recours est admis, eu égard aux conclusions de la recourante, la décision querellée est annulée et la cause est renvoyée à l’office intimé pour complément d’instruction dans le sens des considérants et nouvelle décision.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La partie recourante obtient gain de cause et a droit à une indemnité de dépens à titre de participation aux honoraires de son conseil (art. 61 let. g LPGA). Après examen de la liste des opérations déposée le 26 avril 2021 par Me Jana Burysek, compte tenu de l’importance et de la complexité du litige, il convient d’arrêter l’indemnité à 1'300 fr., débours et TVA compris, et de la mettre intégralement à la charge de la partie intimée (art. 10 et 11 TFJDA [tarif du 28 avril 2015 des frais judiciaires et des dépens en matière administrative ; BLV 173.36.5.1]). d) La partie demanderesse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