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ZD20.046204 vom 9. April 2021</w:t>
      </w:r>
    </w:p>
    <w:p>
      <w:r>
        <w:t>VD Tribunal cantonal, 2021-04-09, FR</w:t>
      </w:r>
    </w:p>
    <w:p>
      <w:r>
        <w:rPr>
          <w:b/>
        </w:rPr>
        <w:t xml:space="preserve">Quelle: </w:t>
      </w:r>
      <w:r>
        <w:t>https://mcp.opencaselaw.ch/entscheid/vd_gerichte_ZD20.046204</w:t>
      </w:r>
    </w:p>
    <w:p>
      <w:r>
        <w:t>FR: VD_GERICHTE ZD20.046204 du 9 avril 2021</w:t>
      </w:r>
    </w:p>
    <w:p>
      <w:r>
        <w:t>IT: VD_GERICHTE ZD20.046204 del 9 aprile 2021</w:t>
      </w:r>
    </w:p>
    <w:p>
      <w:pPr>
        <w:pStyle w:val="Heading2"/>
      </w:pPr>
      <w:r>
        <w:t>Erwägungen</w:t>
      </w:r>
    </w:p>
    <w:p>
      <w:r>
        <w:rPr>
          <w:b/>
        </w:rPr>
        <w:t>E. 8</w:t>
      </w:r>
    </w:p>
    <w:p>
      <w:r>
        <w:t>a) Le recours doit être admis, ce qui entraine l’annulation de la décision rendue par l’OAI, la cause lui étant renvoyée pour mise en œuvre d’une expertise psychiatrique et dans toute discipline jugée utile, puis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