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ZD20.042177 vom 20. Juli 2021</w:t>
      </w:r>
    </w:p>
    <w:p>
      <w:r>
        <w:t>VD Tribunal cantonal, 2021-07-20, FR</w:t>
      </w:r>
    </w:p>
    <w:p>
      <w:r>
        <w:rPr>
          <w:b/>
        </w:rPr>
        <w:t xml:space="preserve">Quelle: </w:t>
      </w:r>
      <w:r>
        <w:t>https://mcp.opencaselaw.ch/entscheid/vd_gerichte_ZD20.042177</w:t>
      </w:r>
    </w:p>
    <w:p>
      <w:r>
        <w:t>FR: VD_GERICHTE ZD20.042177 du 20 juillet 2021</w:t>
      </w:r>
    </w:p>
    <w:p>
      <w:r>
        <w:t>IT: VD_GERICHTE ZD20.042177 del 20 luglio 2021</w:t>
      </w:r>
    </w:p>
    <w:p>
      <w:pPr>
        <w:pStyle w:val="Heading2"/>
      </w:pPr>
      <w:r>
        <w:t>Erwägungen</w:t>
      </w:r>
    </w:p>
    <w:p>
      <w:r>
        <w:rPr>
          <w:b/>
        </w:rPr>
        <w:t>E. 5</w:t>
      </w:r>
    </w:p>
    <w:p>
      <w:r>
        <w:t>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w:t>
      </w:r>
    </w:p>
    <w:p>
      <w:r>
        <w:t>- 11 - ATF 125 V 351 consid. 3a et les références ; TF 9C_453/2017 et 9C_454/2017 du 6 mars 2018 consid. 4.2).</w:t>
      </w:r>
    </w:p>
    <w:p>
      <w:r>
        <w:rPr>
          <w:b/>
        </w:rPr>
        <w:t>E. 6</w:t>
      </w:r>
    </w:p>
    <w:p>
      <w:r>
        <w:t>a) Dans un premier moyen, la recourante reproche à l’intimé une violation du principe inquisitoire. Elle relève que si ce dernier paraît être entré en matière sur la demande de révision, il en a limité l’instruction en ne recueillant que l’avis de son service médical sur la question de savoir si une dégradation l’état de santé de la recourante pouvait être ou non admise. La Dre P.________ se serait contentée de répondre par la négative du fait que ni la Dre M.________ ni la Dre D.________ n’expliqueraient une péjoration de l’état de santé de l’intéressée. La recourante souligne que ses médecins traitants auraient toutefois mis en lumière la chronicisation des troubles psychiques, les arrêts de travail fréquents et la dangerosité, pour elle, d’une poursuite d’une activité au taux de 70 %. En l’absence de plus ample instruction, l’intéressée réclame que le dossier soit renvoyé à l’intimé pour évaluer sa capacité de travail résiduelle, au besoin par la mise en œuvre d’une expertise. L’intimé admet être entré en matière sur la nouvelle demande. Il indique cependant qu’il a soumis les nouvelles pièces à son service médical et que ce dernier n’admet pas d’aggravation de l’état de santé de la recourante. b) Quand bien même le dernier examen complet a débouché sur une simple communication (art. 74quater RAI), celle-ci a valeur de décision (Margit Moser-Szeless, in Dupont/Moser-Szeless [édit.], Loi sur la partie générale des assurances sociales, Commentaire romand, Bâle 2018, n. 20 ad art. 17 LPGA). Tel est le cas en l’espèce puisque la communication du 28 mars 2019 reposait sur un examen matériel du droit à la rente au terme duquel la recourante n’a pas exigé la notification d’une décision formelle (cf. TF 8C_441/2012 du 25 juillet 2013 consid. 3.1.2 in SVR 2013 IV n. 44). La communication en question est entrée en force.</w:t>
      </w:r>
    </w:p>
    <w:p>
      <w:r>
        <w:t>- 12 - c) L’art. 17 al. 1 LPGA étant ainsi applicable au cas d’espèce, il convient d’examiner si le taux d’invalidité de 30 % retenu lors de la communication du 28 mars 2019 s’est modifié, plus particulièrement si la capacité de travail, respectivement de gain, de la recourante a évolué au point d’influer sur le degré d’invalidité. En l’espèce, le degré d’invalidité de 30 % est notamment fondé sur le rapport de la Dre M.________ remontant au 28 juin 2017. La conclusion de cette dernière est motivée de la manière suivante : « Du point de vue clinique, les diagnostics évoqués dans mon rapport de mars 2015 restent inchangés. Concernant le trouble dépressif, on constate une stabilisation des symptômes, avec des périodes de dépression moins marquées et moins longues, mieux gérées par la patiente. Dans les périodes de stress plus intense, on observe l’apparition de symptômes anxieux sous forme de crises d’angoisse, de troubles du sommeil et d’une fatigue émotionnelle plus marquée. En accord avec son employeur, des arrêts de travail de courte durée (un ou deux jours) ont été délivrés de temps à autre, pour permettre à la patiente de récupérer et de tenir sur la durée. Le trouble de la personnalité est également mieux géré par la patiente (tolère mieux le changement, s’adapte mieux, met plus de limites, demande de l’aide si besoin). Le syndrome de dépendance à l’alcool est toujours présent, avec une consommation qui reste épisodique et tend à augmenter dans les périodes de stress. Il persiste chez Z.________ une fragilité psychique qui se traduit par davantage de difficultés à gérer ses émotions et les conflits éventuels, des angoisses, une surcharge et un épuisement qui peuvent apparaître selon les périodes. Considérant tous ces facteurs, une activité à 70% maximum me parait indiquée. » Au stade de la nouvelle demande et dans le formulaire médical de l’AI qu’elle a complété le 3 février 2020, la Dre M.________ a relevé ce qui suit (p. 3, ch. 3.2) : « Z.________ met parfois en danger sa santé en raison de son incapacité à dire non lorsqu’on exige d’elle des heures supplémentaires et des remplacements au pied levé, ce qui arrive continuellement. Elle développe alors un état d’épuisement et d’angoisse important. » Dans ce rapport, la Dre M.________ indique dans un premier temps que compte tenu des troubles présentés et de leur évolution vers une chronicité, la capacité de travail maximale de sa patiente est de 70 %</w:t>
      </w:r>
    </w:p>
    <w:p>
      <w:r>
        <w:t>- 13 - (p. 2, ch. 2.7), pour ensuite évaluer la capacité de travail à 50 % ou 60 % dans l’activité d’ASE (p. 4, ch. 4.1), en décrivant les exigences professionnelles inhérentes à cette activité, à savoir des responsabilités importantes, la prise en charge d’enfants en bas âge, le travail en équipe, des capacités organisationnelles et d’anticipation importantes, des sollicitations multiples, un bruit important, les contacts avec les parents, la gestion de conflits, les aspects éducationnels, les fréquents remplacements au pied levé et l’encadrement de collègues moins expérimentés (p. 3, ch. 3.3). Elle signale toutefois que le status clinique est inchangé depuis 2017 (p. 2, ch.2.2), de même que les diagnostics (p. 4, ch. 2.5). L’épisode dépressif actuel est de surcroît qualifié de léger (ibid.). Dans son rapport du 28 juin 2017, la Dre M.________ constatait de manière similaire une stabilisation des symptômes de la lignée dépressive, avec des périodes de dépression moins marquées et moins longues, mieux gérées par sa patiente. Il ressort de l’annexe psychiatrique au formulaire médical précité que la recourante est limitée au niveau de la gestion de ses émotions (ch. A.4. : « émotions envahissantes provoquant des angoisses fortes et des envies de consommer de l’alcool ») et du stress (ch. A.13. : « parvient à gérer les situations au travail, mais doit ensuite beaucoup dormir, se sent déprimée et angoissée »). Elle subissait périodiquement des phases de décompensation (ch. A.14.). Les capacités de concentration, d’adaptation et d’endurance étaient restreintes (ch. B.2., B.6. et C.3.). La Dre M.________ a aussi relevé des difficultés de communication avec les adultes. La comparaison des rapports de la Dre M.________ du 28 juin 2017 et du 3 février 2020 ne fait pas ressortir de modification notable de l’état de santé de la recourante. Les atteintes psychiques et leurs effets sur la capacité de travail sont globalement identiques. De fait, et dans la mesure où les rapports des Dres D.________ et N.________ ne relient pas l’asthme, respectivement l’obésité, à une diminution de la capacité de travail, la seule différence réside dans</w:t>
      </w:r>
    </w:p>
    <w:p>
      <w:r>
        <w:t>- 14 - l’inadéquation du poste de travail actuel de la recourante, ce que ne fait que confirmer la Dre M.________ en relevant dans son rapport du 12 mai 2020 le risque d’une décompensation majeure sans adaptation du temps de travail aux capacités physiques et psychiques de sa patiente. d) C’est le lieu de rappeler que la recourante est titulaire d’un CFC d’assistante socio-éducative et que son contrat actuel correspond à la fonction « personnel T.________ » pour laquelle elle a bénéficié d’une mesure de formation professionnelle initiale. La communication du 28 mars 2019 retient que la recourante est en mesure d’exercer l’activité d’assistante socio-éducative à 70 %. Or il ressort des pièces au dossier que le cahier des charges et conditions d’emploi actuels de la recourante pourraient ne pas être adaptés à ses limitations fonctionnelles. En premier lieu, le contrat de travail du 6 mars 2019 porte sur un taux d’activité de 65,576 % convenu d’entente entre les parties, apparemment dans les suites du bilan pratique dressé le 10 juillet 2017 par le L.________ qui mentionne en particulier ce qui suit : « • En effet, Z.________ a été engagée à un taux de 80 % au niveau cours et pratique (au lieu d’un contrat normal de 100 %) pour lui permettre de réussir au mieux son apprentissage. • Son investissement a été constant durant l’année, malgré des phases de fatigue importantes (psychiques et physiques). En accord avec l’institution Z.________ a pu s’absenter sur des courtes périodes (jours) pour récupérer son énergie. Tous ces aménagements ont été réalisables parce que Z.________ était dans un processus d’apprenante et n’était pas comptée dans les effectifs d’encadrement. En passant professionnelle de telles mesures ne pourront plus s’appliquer. Un 80 % demande à Z.________ une trop grande mobilisation qui ne lui permet pas d’avoir un rythme constant. Des petites journées de travail semblent idéales. Un taux de travail de 60 à 70 % pourrait permettre une plus grande régularité. » Il ressort par ailleurs du rapport de l’employeur du 23 septembre 2020, en particulier de la description de poste annexée que les tâches de la recourante exigent de grandes capacités de concentration</w:t>
      </w:r>
    </w:p>
    <w:p>
      <w:r>
        <w:t>- 15 - et d’attention, d’endurance, de soin et d’interprétation. Il convient aussi de gérer le stress lié aux professions du domaine éducatif (p. 6). La description de poste indique qu’une partie du temps de travail nécessite une collaboration interpersonnelle avec des adultes (responsable, collègue, parents). La mise en parallèle de ce rapport avec les observations de la Dre M.________ suscite le doute quant aux ressources de la recourante pour faire face aux exigences intellectuelles ou psychiques et à la gestion du stress dans le cadre de son travail, doute confirmé par l’avis de la Dre P.________ du SMR du 15 septembre 2020, qui observe ce qui suit : « La description des fonctions du poste de l’assurée, si tel que décrit par la psychiatre, ne correspond pas aux limitations fonctionnelles de l’assurée dans une activité adaptée. Je n’ai pas de raison médicale de modifier l’exigibilité de 70 % fixée dans une AA. » A cela s’ajoute que l’historique des absences figurant en annexe au rapport de l’employeur du 23 septembre 2020, révèle des arrêts de travail réguliers et postérieurs à la communication du 28 mars 2019. e) Au vu de ce qui précède, il apparait que l’emploi actuel de la recourante, que ce soit sous l’angle du cahier des charges (description de poste) ou du taux d’activité, est en inadéquation avec ses limitations fonctionnelles. En revanche, il n’est pas établi que l’activité d’ASE ne pourrait pas être exercée au taux de 70 % dans un autre cadre de travail adapté à ses limitations fonctionnelles. Il se déduit néanmoins des pièces au dossier (bilan pratique du</w:t>
      </w:r>
    </w:p>
    <w:p>
      <w:r>
        <w:rPr>
          <w:b/>
        </w:rPr>
        <w:t>E. 10</w:t>
      </w:r>
    </w:p>
    <w:p>
      <w:r>
        <w:t>juillet 2017, cahier des charges et contrat de travail signé respectivement les 11 février 2019 et 6 mars 2019), que cette situation prévalait déjà avant la communication du 28 mars 2019, de telle sorte qu’une modification des circonstances postérieure à cette date ne peut être retenue.</w:t>
      </w:r>
    </w:p>
    <w:p>
      <w:r>
        <w:t>- 16 - Etant rappelé la jurisprudence en matière d’autorité de la chose jugée (cf consid. 4d supra), les éléments factuels prévalant à l’époque de la communication du 28 mars 2019 ne peuvent être remis en question dans le cadre de la présente procédure de révision. Demeurent réservées une révision procédurale ou une reconsidération, excédant en l’occurrence l’objet du litige (sur ce point, ATF 144 II 359 consid. 4.3 ; 136 II 457 consid. 4.2 p. 463). 7. a) Dans un second moyen, la recourante conteste le revenu sans invalidité retenu par l’office intimé. Elle soutient que, depuis l’adolescence, ses troubles psychiques auraient systématiquement entravé les formations entreprises, avec pour corollaire qu’elle peut prétendre un revenu sans invalidité de 83'500 fr. par an en application de l’art. 26 al. 1 RAI. Elle se fonde sur la jurisprudence selon laquelle, en matière de révision, le degré d’invalidité doit être fixé à nouveau sur la base d’un état de fait correct et complet, sans référence à des évaluations d’invalidité antérieures (TF 8C_562/2014 du 29 septembre 2015 consid. 3 et références citées). Pour l’intimé, l’art. 26 al. 1 RAI ne s’appliquerait toutefois pas dès lors que la recourante a obtenu un CFC d’ASE et que son handicap n’entraverait pas la mise en valeur économique de sa formation par rapport à une personne qui ne serait pas atteinte dans sa santé. Par conséquent, l’intimé retient ainsi que le revenu sans invalidité pertinent correspond au gain que l’intéressée pourrait tirer de l’activité d’ASE à un taux d’activité de 100 %. b) Aux termes de l’art. 26 al. 1 RAI, lorsque la personne assurée n’a pu acquérir de connaissances professionnelles suffisantes à cause de son invalidité, le revenu qu’elle pourrait obtenir si elle n’était pas invalide correspond en pour-cent, selon son âge, aux fractions suivantes de la médiane, actualisée chaque année, telle qu’elle ressort de l’enquête de l’Office fédéral de la statistique sur la structure des salaires. Le champ d’application de l’art. 26 al. 1 RAI s’étend également aux personnes assurées qui étaient déjà invalides au moment de commencer une</w:t>
      </w:r>
    </w:p>
    <w:p>
      <w:r>
        <w:t>- 17 - formation professionnelle, qui peuvent certes achever leur formation mais qui, du fait de leur invalidité, ne peuvent la valoriser sur le marché du travail équilibré dans la même mesure que les personnes non handicapées disposant d’une formation équivalente (TF 9C_233/2018 du 11 avril 2019 consid. 1.2 ; Droit et Handicap 1/2020, pp. 1 ss, spéc. p. 2 ; cf. aussi Circulaire sur l’invalidité et l’impotence dans l’assurance-invalidité [CIIAI], ch. 3035)). c) Lors de la première instruction, l’office intimé a examiné si les conditions de l’art. 26 al. 1 RAI étaient réalisées (compte-rendu de la permanence juriste du 25 mai 2018) et sollicité l’avis du médecin SMR sur la date de survenance de l’atteinte incapacitante. Dans son avis du 28 juin 2018, la Dre P.________ exclut une atteinte à la santé incapacitante depuis l’adolescence. Elle se prononce en ces termes : « Réponse : à la relecture des dossiers médicaux à disposition, mon analyse est la suivante : cette assurée a certes vécu une enfance difficile cependant la lecture des rapports de la dresse F.________ du 19.08.2008 et du 20.11.2008 laisse entendre qu’elle n’est pas démunie de ressources tant intellectuelles que psychiatriques. Elle semble ne pas avoir poursuivi la formation de décoratrice (activité certainement plus adaptée aux difficultés psychiques de l’assurée que C.________) car elle ne trouve pas de place d’apprentissage et s’engage dans des emplois de vente, probablement pour des raisons économiques, qui ne lui correspondent pas (ce dont elle est consciente) et qui finissent par l’amener à une décompensation psychiatrique. Le terrain psychique est certes fragile mais je ne peux pas retenir une atteinte à la santé incapacitante depuis l’adolescence. En effet, la raison des IT en 2007 est une aggravation d’un trouble dépressif présent de longue date mais non incapacitant jusqu’alors et dont l’évolution sera par la suite favorable, avec parfois des rechutes, ce qui est le propre de cette pathologie. Le rapport de la Dresse M.________ RM du 26.03.2015 qui suit actuellement l’assurée, retient ce même diagnostic, ainsi qu’un trouble de la personnalité émotionnellement labile qui n’est pas mentionné dans les rapports antérieurs (et la clinique ne l’évoque pas) qui, finalement, n’a pas empêché l’assurée de se former et de fonctionner : il n’y a donc, à première vue, pas de raison de retenir ce diagnostic comme étant potentiellement incapacitant à l’adolescence. » Dans le cadre de la première procédure, l’office intimé a fixé le revenu sans invalidité sur la base de l’ESS, dans le domaine de</w:t>
      </w:r>
    </w:p>
    <w:p>
      <w:r>
        <w:t>- 18 - compétence de l’assurée (86-88, santé humaine et action sociale), soit un montant de 66'282 fr. 97 et le revenu avec invalidité à 70 % de ce même montant, soit un revenu de 46'398 fr. 08 correspondant à un degré d’invalidité de 30 %. Si le montant du revenu sans invalidité n’est certes pas mentionné dans la communication du 28 mars 2019, celle-ci tranche implicitement par la négative la question de l’application de l’art. 26 al. 1 RAI. d) Si dans le cadre d’une révision, le degré d’invalidité doit effectivement être fixé à nouveau sur la base d’un état de fait correct et complet, sans référence à des évaluations d’invalidité antérieures, en revanche l’exigence d’une modification des faits déterminants demeure. Or la question de savoir si la recourante peut ou non se prévaloir d’un statut d’invalide au sens de l’art. 26 al. 1 RAI s’examinerait actuellement sur la base d’un état de fait identique à celui prévalant lors de la communication du 28 mars 2019. Etant à nouveau rappelé la jurisprudence en matière d’autorité de la chose jugée (cf. consid. 4d et 6e supra), il apparaît que la communication du 28 mars 2019, en tant qu’elle exclut implicitement l’application de l’art. 26 al. 1 RAI, ne peut être remise en question dans le cadre de la présente procédure de révision, sous réserve d’une révision procédurale ou d’une reconsidération, excédant là aussi l’objet du litige. 8. a) En conséquence, le recours doit être rejeté.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de procédure civile du 19 décembre 2008 ; RS 272], applicable par renvoi de l’art. 18 al. 5 LPA-VD).</w:t>
      </w:r>
    </w:p>
    <w:p>
      <w:r>
        <w:t>- 19 - Il n’y a par ailleurs pas lieu d’allouer de dépens, la recourante n’obtenant pas gain de cause (art. 61 let. g LPGA). c) Par décision de la juge instructrice du 17 novembre 2020, la recourante a été mise au bénéfice de l’assistance judiciaire avec effet au 16 novembre 2020 et a obtenu à ce titre la commission d’un avocat d’office en la personne de Me Bourqui. Cette dernière s’en est remise à l’appréciation de la Cour de céans s’agissant de la fixation de son indemnité, laquelle est arrêtée à 1'500 fr., débours et TVA compris. La rémunération de l’avocat d’office est provisoirement supportée par le canton (art. 122 al. 1 let. a CPC, applicable par renvoi de l’art. 18 al. 5 LPA-VD). La recourante est rendu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