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ZD20.039035 vom 1. Juni 2021</w:t>
      </w:r>
    </w:p>
    <w:p>
      <w:r>
        <w:t>VD Tribunal cantonal, 2021-06-01, FR</w:t>
      </w:r>
    </w:p>
    <w:p>
      <w:r>
        <w:rPr>
          <w:b/>
        </w:rPr>
        <w:t xml:space="preserve">Quelle: </w:t>
      </w:r>
      <w:r>
        <w:t>https://mcp.opencaselaw.ch/entscheid/vd_gerichte_ZD20.039035</w:t>
      </w:r>
    </w:p>
    <w:p>
      <w:r>
        <w:t>FR: VD_GERICHTE ZD20.039035 du 1 juin 2021</w:t>
      </w:r>
    </w:p>
    <w:p>
      <w:r>
        <w:t>IT: VD_GERICHTE ZD20.039035 del 1 giugno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du recourant à une rente de l'assurance-invalidité.</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w:t>
      </w:r>
    </w:p>
    <w:p>
      <w:r>
        <w:t>- 5 -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d)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 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w:t>
      </w:r>
    </w:p>
    <w:p>
      <w:r>
        <w:t>- 6 -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9C_546/2020 du 2 novembre 2020 consid. 4.3 ; TF 9C_393/2008 du 27 janvier 2009 consid.</w:t>
      </w:r>
    </w:p>
    <w:p>
      <w:r>
        <w:rPr>
          <w:b/>
        </w:rPr>
        <w:t>E. 3.3</w:t>
      </w:r>
    </w:p>
    <w:p>
      <w:r>
        <w:t>; TFA I 750/04 du 5 avril 2006 consid. 5.3, in SVR 2007 IV n° 1 p. 1 ; I 11/00 du 22 août 2001 consid. 5a/bb, in VSI 2001 p. 274).</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w:t>
      </w:r>
    </w:p>
    <w:p>
      <w:r>
        <w:rPr>
          <w:b/>
        </w:rPr>
        <w:t>E. 4.1</w:t>
      </w:r>
    </w:p>
    <w:p>
      <w:r>
        <w:t>;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w:t>
      </w:r>
    </w:p>
    <w:p>
      <w:r>
        <w:t>- 7 -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5</w:t>
      </w:r>
    </w:p>
    <w:p>
      <w:r>
        <w:t>Dans le cas d’espèce, le recourant soutient qu’en raison de son état de santé, il n’est plus capable d’exercer son activité de peintre en bâtiment à plein temps. Il pourrait en revanche exercer son activité à 50%, avec le soutien de l’assurance-invalidité. a) En premier lieu, il sied de relever que la situation médicale apparaît claire et ne fait pas l’objet de contestations particulières de la part du recourant. Si l’intimé s’est abstenu d’investiguer l’état de santé de l’intéressé au-delà des considérations de son médecin traitant, le Dr B.________, c’est que ces dernières, bien que succinctes, apparaissent comme cohérentes. En effet, les limitations fonctionnelles retenues (éviter les positions à genou, éviter la flexion forcée du genou gauche, éviter de monter et descendre des échelles, éviter les mouvements répétitifs de l’épaule droite, éviter le port de charge de plus de cinq kilos du membre supérieur droit) s’inscrivent comme les conséquences plausibles des diagnostics retenus. Au vu de ces limitations fonctionnelles, il apparaît ainsi clair que l’activité de peintre en bâtiment n’est plus exigible. Une activité adaptée peut en revanche être exercée à temps plein par le recourant, comme le relève le Dr B.________ dans son rapport du 13 juin 2020. Les considérations médicales versées au dossier pouvant être suivies, il sied de retenir que le recourant présente une pleine capacité de travail dans une activité adaptée à ses limitations fonctionnelles. b) En l’occurrence, le recourant est né en 1960. L’évaluation de l’invalidité d’un assuré qui se trouve proche de l’âge donnant droit à la</w:t>
      </w:r>
    </w:p>
    <w:p>
      <w:r>
        <w:t>- 8 - rente de vieillesse, doit résulter d’une analyse globale de la situation et de l’examen de manière réaliste de ses possibilités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Le recourant était âgé de 60 ans et 3 mois au moment déterminant, soit lorsque le Dr Haftgoli a constaté sa pleine capacité de travail dans une activité adaptée à ses limitations fonctionnelles (cf. rapport du 13 juin 2020). Il disposait ainsi encore d'une durée d'activité de près de cinq années, n’excluant pas d'emblée le caractère exploitable de sa capacité résiduelle de travail (ATF 143 V 431 consid. 4.5.2). Par ailleurs, il ne peut qu’être déduit des écritures et pièces au dossier du recourant que son intention est de poursuivre une activité professionnelle, certes de préférence son activité de peintre à 50%. Enfin, dans des activités industrielles légères, par exemple montage, contrôle ou surveillance d’un</w:t>
      </w:r>
    </w:p>
    <w:p>
      <w:r>
        <w:t>- 9 - processus de production, ouvrier à l’établi dans des activités simples et légères, ouvrier dans le conditionnement, comme opérateur sur machines conventionnelles (perçage, fraisage, taraudage et autres), il existe de réelles possibilités d'embauche sur le marché équilibré de l'emploi (cf. TF 9C_286/2015 du 12 janvier 2016 consid. 4.2 et les arrêts cités). c) Quand bien même l’exercice de son activité professionnelle de peintre en bâtiment n’est plus compatible avec ses limitations fonctionnelles, le recourant a continué à la poursuivre à temps partiel, ce qui ne justifie pas pour autant de la prendre en compte pour déterminer le degré d’invalidité. En effet, l'obligation de diminuer le dommage impose notamment à l'assuré d’entreprendre de son propre chef tout ce qu'on peut raisonnablement attendre de lui pour atténuer le mieux possible les conséquences de son invalidité, sans se limiter au domaine dans lequel il travaillait avant la survenance de son atteinte à la santé (TF 9C_393/2008 du 27 janvier 2009 consid. 3.3, précédemment cité). Aussi, dans la mesure où le recourant ne s’est pas orienté dans une activité professionnelle adaptée aux limitations fonctionnelles décrites par son médecin traitant, le revenu d'invalide doit être calculé sur la base de salaires fondés sur les données statistiques résultant de l'Enquête suisse sur la structure des salaires ([ESS] ; ATF 139 V 592 consid. 2.3 p. 593). C’est ainsi à juste titre que l’intimé s’est fondé sur les salaires statistiques afin de déterminer le salaire avec invalidité. d) Cependant, la comparaison des revenus effectuée par l’intimé ne saurait être suivie. En effet, en tant que revenu sans invalidité, l’OAI a arrêté un montant de 60'270 francs. Pourtant, vu le certificat de salaire pour l’année 2019 produit par le recourant, ce dernier a effectivement perçu un salaire de 69'020 fr. Il n’y a aucune raison de s’écarter de ce montant en tant que revenu sans invalidité, lequel sera encore indexé à l’année 2020. S’agissant du revenu avec invalidité, il doit être fixé sur la base des statistiques salariales ressortant de l’ESS 2018. Le salaire de référence</w:t>
      </w:r>
    </w:p>
    <w:p>
      <w:r>
        <w:t>- 10 - pour des hommes exerçant des tâches physiques ou manuelles simples dans le secteur privé (production et services) était, en 2018 de 5'417 fr. par mois, part au treizième salaire comprise (ESS 2018, tableau TA1_skill_level, niveau de compétence 1), soit, en 2020, après indexation, de 68’446 fr. 03 par an pour une activité exercée à 100 %, compte tenu de la durée hebdomadaire de travail dans les entreprises de 41,7 heures (tableau « Durée normale du travail dans les entreprises selon la division économique », établi par l’OFS). e) À la lecture de la décision attaquée, il apparaît que l’OAI a procédé à un abattement de 5% sur le revenu avec invalidité en raison de l’âge du recourant.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 cc ; TF 9C_704/2008 du 6 février 2009 consid. 3). Compte tenu de ce qui précède et afin de fixer un taux d’abattement tenant compte de l’ensemble des circonstances personnelles du recourant, il convient non seulement de prendre en compte son âge à l’instar de l’intimé, mais également des limitations fonctionnelles induites pas son état de santé, de la titularité d’un permis B et de la courte expérience professionnelle du recourant depuis son arrivée</w:t>
      </w:r>
    </w:p>
    <w:p>
      <w:r>
        <w:t>- 11 - en Suisse en 2016. Pris ensemble, ces critères justifient un taux d’abattement de 15 % sur le revenu avec invalidité. f) Vu les considérations qui précèdent, la comparaison des revenus entre le revenu avec invalidité, indexé à 2020 et abattu à hauteur de 15%, soit 58'179 fr., et le revenu sans invalidité arrêté à 69'365 fr. 10 (indexé à l’année 2020), met en lumière une perte de gain de 11'185 fr. 97. Cette perte correspond à un degré d’invalidité de 16,13%, insuffisant pour ouvrir le droit à une rente. Ce degré d’invalidité n’ouvre pas non plus le droit à des mesures de reclassement au sens de l’art. 17 al. 1 LAI. Est réputé invalide au sens de l’art. 17 LAI celui qui n’est pas suffisamment réadapté, l’activité lucrative exercée jusque-là n’étant plus raisonnablement exigible ou ne l’étant plus que partiellement en raison de la forme et de la gravité de l’atteinte à la santé. Toutefois, le seuil minimum fixé par la jurisprudence pour ouvrir le droit à une mesure de reclassement est une diminution de la capacité de gain de 20 % environ (ATF 139 V 399 consid. 5.3), diminution qui n’est pas atteinte en l’occurrence. Cependant, comme le relève l’intimé à l’occasion de sa réponse du 1er décembre 2020, une aide au placement au sens de l’art. 17 LAI reste accessible au recourant.</w:t>
      </w:r>
    </w:p>
    <w:p>
      <w:r>
        <w:rPr>
          <w:b/>
        </w:rPr>
        <w:t>E. 6</w:t>
      </w:r>
    </w:p>
    <w:p>
      <w:r>
        <w:t>a) Mal fondé, le recours doit par conséquent être rejeté et la décision attaquée confirmée. b) En dérogation à l’art. 61 let. a LPGA (dans sa teneur en vigueur jusqu’au 31 décembre 2020, applicable conformément à l’art. 83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w:t>
      </w:r>
    </w:p>
    <w:p>
      <w:r>
        <w:t>- 12 - la charge de du recourant, qui succombe (cf. art. 69 al. 1 LAI ; art. 49 al. 1 LPA-VD). c) Enfin, il n’y a pas lieu d’allouer de dépens, le recourant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