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ZD20.036452 vom 9. März 2021</w:t>
      </w:r>
    </w:p>
    <w:p>
      <w:r>
        <w:t>VD Tribunal cantonal, 2021-03-09, FR</w:t>
      </w:r>
    </w:p>
    <w:p>
      <w:r>
        <w:rPr>
          <w:b/>
        </w:rPr>
        <w:t xml:space="preserve">Quelle: </w:t>
      </w:r>
      <w:r>
        <w:t>https://mcp.opencaselaw.ch/entscheid/vd_gerichte_ZD20.036452</w:t>
      </w:r>
    </w:p>
    <w:p>
      <w:r>
        <w:t>FR: VD_GERICHTE ZD20.036452 du 9 mars 2021</w:t>
      </w:r>
    </w:p>
    <w:p>
      <w:r>
        <w:t>IT: VD_GERICHTE ZD20.036452 del 9 marzo 2021</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rPr>
          <w:b/>
        </w:rPr>
        <w:t>E. 2</w:t>
      </w:r>
    </w:p>
    <w:p>
      <w:r>
        <w:t>Le litige a pour objet le droit du recourant à des prestations de l’assurance-invalidité, singulièrement la question de savoir s’il peut prétendre à une rente au-delà du 29 février 2020, respectivement à des mesures d’ordre professionnel.</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w:t>
      </w:r>
    </w:p>
    <w:p>
      <w:r>
        <w:t>- 6 -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du règlement du 17 janvier 1961 sur l’assurance- invalidité (RAI ; RS 831.201) (Michel Valterio, Droit de l’assurance- vieillesse et survivants (AVS) et de l’assurance-invalidité (AI), Genève/Zurich/Bâle 2011, pp. 833s n° 3068 et les références citées ; TF 9C_134/2015 du 3 septembre 2015 consid. 4.1 et les références citées).</w:t>
      </w:r>
    </w:p>
    <w:p>
      <w:r>
        <w:t>- 7 -</w:t>
      </w:r>
    </w:p>
    <w:p>
      <w:r>
        <w:rPr>
          <w:b/>
        </w:rPr>
        <w:t>E. 4</w:t>
      </w:r>
    </w:p>
    <w:p>
      <w:r>
        <w:t>En l’occurrence, l’office intimé a octroyé au recourant une rente d’invalidité limitée dans le temps entre le 1er mai 2019 et le 29 février 2020. Il ressort de l’ensemble des éléments médicaux au dossier que le recourant a présenté une coxarthrose gauche ainsi que des lombalgies chroniques, atteintes qui ont notamment été traitées par une arthroplastie le 29 novembre 2018 et une prise en charge de réentrainement musculaire et de physiothérapie (rapports des 26 février,</w:t>
      </w:r>
    </w:p>
    <w:p>
      <w:r>
        <w:rPr>
          <w:b/>
        </w:rPr>
        <w:t>E. 5</w:t>
      </w:r>
    </w:p>
    <w:p>
      <w:r>
        <w:t>Le recourant relève que, préalablement à la suppression de sa rente, l’office intimé aurait dû examiner la possibilité de mettre en place des mesures d’ordre professionnel. Il convient d’examiner la question de savoir si, à l’issue des traitements dont il a bénéficié en raison de ses différentes atteintes à la santé, le recourant était en mesure de réintégrer le monde du travail et, le cas échéant, s’il pouvait prétendre à des mesures d’ordre professionnel en vue de faciliter sa réintégration. Le recourant reproche en effet à l’intimé de n’avoir pas examiné concrètement la question de savoir s’il était en mesure de mettre à profit sa capacité de gain sur le marché du travail. a) Il arrive que l’octroi préalable de mesures de réadaptation constitue une conditio sine qua non, d’un point de vue professionnel, à la valorisation économique de la capacité de travail (TF 9C_254/2011 du 15 novembre 2011 consid. 7). La jurisprudence considère ainsi qu’il existe</w:t>
      </w:r>
    </w:p>
    <w:p>
      <w:r>
        <w:t>- 8 - des situations dans lesquelles, avant de réduire ou de supprimer une rente d’invalidité – y compris dans le cadre d’une décision d’octroi, à titre rétroactif, d’une rente limitée dans le temps (cf.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 Il en découle – sous réserve de cas où l'assuré dispose d'emblée de capacités suffisantes lui permettant une réadaptation par soi- même (TF 8C_582/2017 du 22 mars 2018 consid. 6.3 ; TF 9C_183/2015 du 19 août 2015 consid. 5)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w:t>
      </w:r>
    </w:p>
    <w:p>
      <w:r>
        <w:t>- 9 - b) En l’occurrence, le recourant a bénéficié d’une rente entière d’invalidité limitée dans le temps alors qu’il était âgé de plus de 55 ans. De ce fait, il appartient à la catégorie d’assurés dont il convient de présumer qu’ils ne peuvent en principe pas entreprendre de leur propre chef tout ce que l’on peut raisonnablement attendre d’eux pour tirer profit de leur capacité résiduelle de travail, peu importe à cet égard qu’il présente une invalidité inférieure à 20 % (TF 9C_517/2016 du 7 mars 2017 consid. 5.1 et 5.2). Cependant, contrairement à ce qu’allègue le recourant, il ressort des pièces au dossier que l’office intimé a, par le biais de son service de réadaptation, examiné la problématique des mesures professionnelles auxquelles celui-ci pouvait prétendre (cf. décision du 24 août 2020 ; communication du service de réadaptation du 12 novembre 2020). Compte tenu des limitations fonctionnelles mises en évidence sur le plan médical, il a démontré que les exigences du marché du travail permettaient au recourant d’exploiter immédiatement sa capacité résiduelle de travail, en illustrant, par le biais d'exemples concrets – non remis en cause par le recourant –, qu'il existait un certain nombre d'activités dans le secteur secondaire qui étaient adaptées à ses limitations et accessibles sans aucune formation particulière. Il a en particulier relevé que le recourant pouvait assumer un travail simple et répétitif dans le domaine industriel léger, par exemple dans le montage, le contrôle ou la surveillance d’un processus de production, en qualité d’ouvrier à l’établi dans des activités simples et légères, en qualité d’ouvrier dans le conditionnement, en qualité d’opérateur sur machines conventionnelles (perçage, fraisage, taraudage et autre) ou dans le domaine de la vente seule (shop et autre). Il apparaît ainsi que le recourant peut, compte tenu de sa longue expérience professionnelle, de la nature de ses limitations fonctionnelles et du peu de temps qu’il a passé éloigné du marché du travail, reprendre du jour au lendemain une activité lucrative telle que décrite par le service de réadaptation (cf. TF 9C_517/2016 précité consid. 5.3 a contrario). En conséquence, faute pour le recourant de réaliser les conditions matérielles du droit à une mesure</w:t>
      </w:r>
    </w:p>
    <w:p>
      <w:r>
        <w:t>- 10 - de reclassement professionnel au sens de l’art. 17 LAI (ATF 139 V 399 consid. 5.3 et 5.4) et dans la mesure où la situation ne nécessite pas l’octroi de mesures d’orientation professionnelle au sens de l’art. 15 LAI, c’est à bon droit que l’office intimé a alloué au recourant une mesure d’aide au placement au sens de l’art. 18 LAI.</w:t>
      </w:r>
    </w:p>
    <w:p>
      <w:r>
        <w:rPr>
          <w:b/>
        </w:rPr>
        <w:t>E. 6</w:t>
      </w:r>
    </w:p>
    <w:p>
      <w:r>
        <w:t>a) Sur le vu de ce qui précède, le recours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