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ZD20.035984 vom 23. Mai 2024</w:t>
      </w:r>
    </w:p>
    <w:p>
      <w:r>
        <w:t>VD Tribunal cantonal, 2024-05-23, FR</w:t>
      </w:r>
    </w:p>
    <w:p>
      <w:r>
        <w:rPr>
          <w:b/>
        </w:rPr>
        <w:t xml:space="preserve">Quelle: </w:t>
      </w:r>
      <w:r>
        <w:t>https://mcp.opencaselaw.ch/entscheid/vd_gerichte_ZD20.035984</w:t>
      </w:r>
    </w:p>
    <w:p>
      <w:r>
        <w:t>FR: VD_GERICHTE ZD20.035984 du 23 mai 2024</w:t>
      </w:r>
    </w:p>
    <w:p>
      <w:r>
        <w:t>IT: VD_GERICHTE ZD20.035984 del 23 maggio 2024</w:t>
      </w:r>
    </w:p>
    <w:p>
      <w:pPr>
        <w:pStyle w:val="Heading2"/>
      </w:pPr>
      <w:r>
        <w:t>Erwägungen</w:t>
      </w:r>
    </w:p>
    <w:p>
      <w:r>
        <w:rPr>
          <w:b/>
        </w:rPr>
        <w:t>E. 4</w:t>
      </w:r>
    </w:p>
    <w:p>
      <w:r>
        <w:t>Dans un grief de nature formelle, la recourante se plaint d’une violation de son droit d’être entendue, au motif que l’intimé aurait ignoré l’avis médical du 12 décembre 2019 du Dr R.________ du SMR, l’aurait privée de la possibilité de se déterminer sur cet avis et n’aurait pas instruit son dossier à satisfaction en refusant de mettre en œuvre une expertise médicale pluridisciplinaire comportant un volet neurologique/neuropsychosomatique.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141 V 557 consid. 3.1 et les références citées ; TF 9C_751/2018 du 16 avril 2019 consid. 2.2).</w:t>
      </w:r>
    </w:p>
    <w:p>
      <w:r>
        <w:t>- 21 - b) En l’occurrence, le moyen soulevé par la recourante s’agissant de l’instruction insuffisante du dossier se confond avec celui de violation du principe inquisitoire (art. 43 LPGA) et doit être examiné avec le fond du litige. Par ailleurs, la recourante a pu se déterminer sur l’avis médical du 12 décembre 2019 du Dr R.________ du SMR et faire valoir ses moyens dans le cadre d’un double échange d’écritures devant la Cour des assurances sociales du Tribunal cantonal, qui dispose d’un plein pouvoir d’examen (ATF 145 I 167 consid. 4.4 ; ATF 142 II 218 consid. 2.8.1 ; ATF 137 I 195 consid. 2.3.2). Ainsi, une hypothétique violation de son droit d’être entendue devrait en tous les cas être considérée comme réparée.</w:t>
      </w:r>
    </w:p>
    <w:p>
      <w:r>
        <w:rPr>
          <w:b/>
        </w:rPr>
        <w:t>E. 5</w:t>
      </w:r>
    </w:p>
    <w:p>
      <w:r>
        <w:t>Il convient cependant d’examiner si c’est à juste titre que l’intimé a estimé qu’il était en droit de retrancher du dossier de la recourante l’avis médical du 12 décembre 2019 du Dr R.________ du SMR. a) Le devoir général de tenue des dossiers qui incombe aux autorités est le pendant – découlant de l’art. 29 al. 2 Cst.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les art. 46 LPGA et 8 OPGA (ordonnance du 11 septembre 2002 sur la partie générale du droit des assurances sociales ; RS 830.11) concrétisent le devoir général de tenue des dossiers, en tant que ces dispositions imposent aux assureurs, lors de chaque procédure relevant des assurances sociales, d’enregistrer de manière systématique tous les documents qui peuvent être déterminants (ATF 138 V 218 consid. 8.1.2 et les références).</w:t>
      </w:r>
    </w:p>
    <w:p>
      <w:r>
        <w:t>- 22 - b) Pour pouvoir établir les faits et apprécier librement les preuves, le tribunal cantonal doit disposer de l'ensemble du dossier afin de pouvoir décider quels documents sont essentiels et lesquels ne le sont pas pour l'appréciation du cas litigieux. L’assureur ne saurait dès lors se contenter de produire les documents qu’il considère comme déterminants pour le cas d’espèce. L’assureur doit garantir que le dossier qu’il produit auprès des autorités ou du tribunal est complet. En d’autres termes, l’assureur doit pouvoir garantir que le droit constitutionnel inscrit à l’art. 29 al. 2 Cst., et concrétisé au niveau de la loi à l’art. 46 LPGA, est respecté (TF 8C_616/2013 du 28 janvier 2014 consid. 2.1 ; 8C_269/2009 du 13 novembre 2009 consid. 5.2.2 et les références ; Guy Longchamp, in Anne- Sylvie Dupont/Margit Moser-Szeless [édit.], Loi sur la partie générale des assurances sociales, Commentaire romand, Bâle 2018, n° 21 ad art. 46). c) En l’occurrence, l’intimé a expliqué que l’avis du SMR du 12 décembre 2019 se trouvait par erreur dans le dossier lorsque l’avocate de la recourante l’a consulté en août 2020, car cet avis avait été rédigé uniquement pour servir dans le cadre des prétentions récursoires de l’AI contre le tiers responsable et non dans le but de définir le droit aux prestations de l’assurée. Il considère donc que cet avis n’aurait pas dû être porté à la connaissance de la recourante. Le raisonnement de l’OAI est insoutenable. L’avis médical du Dr R.________ contredit les précédents avis médicaux du SMR au dossier, en estimant que la cause n’est pas assez instruite et qu’une expertise neurologique est nécessaire. Il s’agit partant d’un avis déterminant dans le cadre de l’instruction de la cause de la recourante. Quoi qu’en dise l’intimé, on ne voit par ailleurs pas en quoi un diagnostic ou un avis médical serait pertinent dans le cadre d’une action récursoire de l’OAI, mais pas pour établir les atteintes dont souffre la recourante et ses limitations fonctionnelles en lien avec d’éventuelles prestations auxquelles elle aurait droit. L’avis du Dr R.________ ne pouvait donc pas être retiré du dossier de la recourante. Ce manquement ne porte toutefois pas à conséquence en l’espèce comme précédemment exposé, la recourante ayant pu prendre connaissance de cet avis médical et se déterminer sur celui-ci.</w:t>
      </w:r>
    </w:p>
    <w:p>
      <w:r>
        <w:t>- 23 -</w:t>
      </w:r>
    </w:p>
    <w:p>
      <w:r>
        <w:rPr>
          <w:b/>
        </w:rPr>
        <w:t>E. 5.1</w:t>
      </w:r>
    </w:p>
    <w:p>
      <w:r>
        <w:t>; ATF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c) En l’espèce, l’intimé a retenu que la capacité de travail de la recourante était nulle depuis son accident en décembre 2012 jusqu’au 8 février 2016. A partir du 9 février 2016, bien qu’une totale incapacité de travail persiste dans son activité habituelle de coiffeuse, une pleine capacité de travail est retenue dans une activité respectant ses limitations fonctionnelles (pas de station debout prolongée, déplacements de courte durée, activité permettant de varier les positions au gré de l’intéressée, pas de manipulations de charges lourdes de plus de 7 kg). Pour arriver à ces conclusions, dans son projet de décision du 7 novembre 2016, l’OAI s’est fondé sur le rapport d’expertise bidisciplinaire psychiatrique et</w:t>
      </w:r>
    </w:p>
    <w:p>
      <w:r>
        <w:t>- 28 - orthopédique des Drs W.________ et Q.________ du Z.________ du 15 juillet 2016. Par la suite, le Dr J.________ a rendu un rapport d’expertise orthopédique le 29 mars 2018 et le Dr V.________ un rapport d’expertise psychiatrique du 25 mars 2019, complété le 15 juillet 2019, rapports qui, d’après l’OAI, confirment les constatations faites dans son projet de décision, de sorte qu’elle a confirmé celui-ci dans la décision attaquée. d) Force est de constater que l’OAI a statué sur la base d’un dossier lacunaire. Il est constant que la recourante a été victime d’un accident de la route le 17 décembre 2012 qui lui a notamment causé une fracture de la jambe droite classification AO42-A2 et une fracture du tibia proximal droit type Schatzker II, blessures qui ont nécessité une intervention chirurgicale en date du 26 décembre 2012. A la suite de cet accident, la recourante n’a cessé de ressentir des douleurs à la jambe droite, dont le caractère neurologique a été mis en évidence dans de nombreux rapports médicaux au dossier. En 2013 déjà, la Dre K.________ posait le diagnostic de probable syndrome douloureux régional complexe de la jambe droite (rapport médical du 28 octobre 2013), qu’elle a confirmé le 11 décembre 2014. Le Dr T.________ a posé le même diagnostic en février et mars 2014 (rapports médicaux des 18 février et 7 mars 2014). Le 15 septembre 2015, la Dre K.________ a à nouveau relevé que les douleurs étaient de type neuropathique avec dysesthésies au toucher. Dans son rapport d’expertise du 29 mars 2018, le Dr J.________ a, quant à lui, relevé que l’assurée souffrait d’un probable syndrome douloureux régional complexe des suites de sa fracture, ainsi que d’allodynie sur probable neuropathie cicatricielle de branches sensitives du nerf fibulaire commun, lequel devait être précisé par un examen neurologique avec électro-neuro-myographie. Le 21 janvier 2019, le Dr G.________ a également retenu que la recourante présentait un syndrome douloureux complexe post-traumatique, relevant en outre que les infiltrations diagnostiques/thérapeutiques étaient négatives, en ce sens qu’elles n’avaient pas conduit à une amélioration des douleurs, bien qu’une composante neurogénique de la douleur restât probable. Enfin, le Dr R.________, dans son avis médical du 12 décembre</w:t>
      </w:r>
    </w:p>
    <w:p>
      <w:r>
        <w:t>- 29 - 2019, a retenu que les plaintes de la recourante prenaient partiellement ou intégralement leur origine dans une altération de la perception centrale de la douleur à la suite de l’accident de 2012, ce qui était compatible avec le diagnostic de syndrome douloureux régional complexe. Il a précisé qu’il partageait la position des experts dans leurs domaines de compétences, mais qu’il s’agissait vraisemblablement d’une situation rare qui demandait de considérer la douleur comme une maladie avec toutes les difficultés inhérentes à son objectivation et sa quantification à des fins assécurologiques, raison pour laquelle il préconisait d’obtenir un avis neurologique ou antalgique auprès d’un centre universitaire ou reconnu pour son excellence. La composante neurologique des douleurs ressenties par la recourante a été ainsi envisagée dans de nombreux avis médicaux au dossier, dont le Dr R.________ du SMR, sans pour autant être investiguée. En l’état du dossier, l’intimé ne disposait donc pas des informations nécessaires pour évaluer les atteintes à la santé dont souffrait la recourante et leurs répercussions sur sa capacité de travail. Il sied en outre de relever que l’intimé n’a jamais mis en œuvre d’expertise depuis le dépôt de la demande de prestations en 2014, se référant aux diverses expertises mises en œuvre par l’assurance-accidents, lesquelles ne traitent toutefois que des atteintes en lien de causalité naturelle avec l’événement accidentel du 17 décembre 2012.</w:t>
      </w:r>
    </w:p>
    <w:p>
      <w:r>
        <w:rPr>
          <w:b/>
        </w:rPr>
        <w:t>E. 6</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t>- 24 - d)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 31 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w:t>
      </w:r>
    </w:p>
    <w:p>
      <w:r>
        <w:t>- 25 - cc) Pour un assuré qui n'exerçait que partiellement une activité lucrative, l'invalidité est, pour cette part, évaluée selon la méthode générale de comparaison des revenus. S'il se consacrait en outre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27bis RAI, dans sa teneur en vigueur jusqu’au 31 décembre 2021 ; voir par ailleurs ATF 131 V 51 consid. 5.1.2). 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f) En l’espèce, l’intimé a à juste titre fait application de la méthode ordinaire de comparaison des revenus, retenant un statut d’actif</w:t>
      </w:r>
    </w:p>
    <w:p>
      <w:r>
        <w:t>- 26 - à plein temps. En effet, il ressort du contrat de travail signé le 1er octobre 2012 par la recourante avec C.________ que, si l’accident du 17 décembre 2012 n’avait pas eu lieu, elle aurait travaillé à 100 % à partir du 1er avril 2013. Il n’est par ailleurs pas contesté par la recourante qu’en bonne santé, elle travaillerait à plein temps.</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- 27 - comme expertise, mais bel et bien son contenu (ATF 134 V 231 consid.</w:t>
      </w:r>
    </w:p>
    <w:p>
      <w:r>
        <w:rPr>
          <w:b/>
        </w:rPr>
        <w:t>E. 8</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w:t>
      </w:r>
    </w:p>
    <w:p>
      <w:r>
        <w:t>- 30 -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Kieser, op. cit., n° 15 et 20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Dans ce contexte, il lui incombera de mettre en œuvre une expertise médicale pluridisciplinaire de la recourante, destinée à clarifier le tableau clinique présenté par cette dernière depuis décembre 2012, y compris d’un point de vue neurologique, voire neuropsychiatrique, afin d’avoir une appréciation médicale globale de l’évolution de l’état de santé de la recourante tenant compte des aspects qui doivent faire l’objet d’une instruction complémentaire. Une fois l’instruction complétée, il appartiendra à l’intimé de fixer le degré d’invalidité de la recourante sur la base de la méthode générale de comparaison des revenus.</w:t>
      </w:r>
    </w:p>
    <w:p>
      <w:r>
        <w:t>- 31 -</w:t>
      </w:r>
    </w:p>
    <w:p>
      <w:r>
        <w:rPr>
          <w:b/>
        </w:rPr>
        <w:t>E. 9</w:t>
      </w:r>
    </w:p>
    <w:p>
      <w:r>
        <w:t>a) En définitive, le recours, bien fondé, doit être admis et la décision du 3 août 2020 de l’OAI annulée, la cause étant renvoyée à cette autorité pour instruction complémentaire et nouvelle décision dans le sens des considérants.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17 avril 2024 par Me Isabelle Jaques, compte tenu de l’importance et de la complexité du litige, il convient d’arrêter l’indemnité à 2’800 fr., débours et TVA compris, et de la mettre intégralement à la charge de la partie intimée (art. 10 et 11 TFJDA [tarif du 28 avril 2015 des frais judiciaires et des dépens en matière administrative ; BLV 173.36.5.1]). d)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