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ZD20.035773 vom 19. Oktober 2022</w:t>
      </w:r>
    </w:p>
    <w:p>
      <w:r>
        <w:t>VD Tribunal cantonal, 2022-10-19, FR</w:t>
      </w:r>
    </w:p>
    <w:p>
      <w:r>
        <w:rPr>
          <w:b/>
        </w:rPr>
        <w:t xml:space="preserve">Quelle: </w:t>
      </w:r>
      <w:r>
        <w:t>https://mcp.opencaselaw.ch/entscheid/vd_gerichte_ZD20.035773</w:t>
      </w:r>
    </w:p>
    <w:p>
      <w:r>
        <w:t>FR: VD_GERICHTE ZD20.035773 du 19 octobre 2022</w:t>
      </w:r>
    </w:p>
    <w:p>
      <w:r>
        <w:t>IT: VD_GERICHTE ZD20.035773 del 19 ottobre 2022</w:t>
      </w:r>
    </w:p>
    <w:p>
      <w:pPr>
        <w:pStyle w:val="Heading2"/>
      </w:pPr>
      <w:r>
        <w:t>Erwägungen</w:t>
      </w:r>
    </w:p>
    <w:p>
      <w:r>
        <w:rPr>
          <w:b/>
        </w:rPr>
        <w:t>E. 17</w:t>
      </w:r>
    </w:p>
    <w:p>
      <w:r>
        <w:t>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t>- 16 - 5.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- 17 - c) Bien que les rapports d’examen réalisés par un SMR en vertu de l’art. 49 al. 2 RAI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 6. a) En l’espèce, la décision attaquée retient que le recourant dispose d’une capacité de travail pleine et entière dans une activité adaptée à ses limitations fonctionnelles depuis l’âge légal pour l’exercice d’une telle activité. Cette constatation se fonde sur l’examen clinique rhumatologique pratiqué par le Dr D.________ du SMR et les conclusions de son rapport daté du 21 janvier 2020, dont il convient d’examiner la valeur probante. b) Le Dr D.________ du SMR a reçu le recourant et procédé à un examen clinique complet, détaillé dans son rapport (status général, neurologique et ostéoarticulaire). Il a établi l’anamnèse familiale, scolaire et professionnelle du recourant, puis listé et résumé les différents documents médiaux qui étaient à sa disposition depuis la période de 2004 à 2019, comprenant les rapports des Drs X.________ et M.________. Il a également pris connaissance du dossier radiologique du recourant et listé ses plaintes ostéoarticulaires. Il s’est en outre renseigné sur les habitudes du recourant, sa vie quotidienne, ses loisirs et son contexte psychosocial. aa) Se fondant sur ses constats cliniques et sur les documents médicaux à sa disposition, le Dr D.________ a retenu le diagnostic principal incapacitant de lombo-pseudo-sciatalgies gauches dans le cadre de discrètes discopathies, prédominant en L3 et L4 et d’arthrose des articulations postérieures, prédominant également en L3 et L4, et comme diagnostics associés, des cervico-scapulalgies bilatérales non déficitaires dans le cadre d’un remaniement dégénératif des articulations postérieures en C3-C4 et uncovertébrales en C5-C6 ainsi que de nanisme</w:t>
      </w:r>
    </w:p>
    <w:p>
      <w:r>
        <w:t>- 18 - hypochondroplasique ; ces diagnostics ne sont pas contestés par le recourant ou ses médecins, les Drs X.________ et M.________, retenant tous deux les mêmes diagnostics incapacitants ainsi que les mêmes limitations que l’examinateur du SMR avec une appréciation différente quant à la capacité de travail du recourant. bb) Le Dr D.________ a motivé son appréciation médicale et expliqué sur quels points et pourquoi il s’écartait de l’avis du Dr X.________, de manière convaincante. Il a relevé en particulier que l’extension cervicale était discrètement diminuée par rapport à l’expertise de 2005 (cf. rapport d’expertise du Prof. V.________ du 31 octobre 2005). L’extension diminuait de 15 à 14 cm. Les rotations et les inclinaisons latérales étaient cependant conservées. Par rapport à 2005, la flexion lombaire avait également légèrement diminué. Elle était passée de 15 cm à 14.5 cm. Il n'y avait pas de radiculopathie irritative ni déficitaire. L’examen des épaules et des coudes était sans particularité. Il relevait une brachydactylie de tous les doigts et des orteils dans le cadre d'un nanisme. L’examen des hanches et des genoux était sans particularité. Le recourant signalait des douleurs diffuses de la cheville gauches (déjà mentionnées dans le rapport d’expertise du Prof. V.________), sans qu’il ne retrouve d’instabilité de la cheville. La faible force de préhension aux deux mains lors du test de Jamar, avec des valeurs qui fluctuaient, était le reflet d'une participation insuffisante du recourant. Ces fluctuations étaient également relevées par le Prof. V.________ (cf. rapport médical du 25 avril 2006), qu'il qualifiait de légère surcharge fonctionnelle. Sur le plan médico-assécurologique, il y avait lieu de considérer ceci comme une incohérence. La diminution diffuse de la sensibilité de l’hémicorps gauche ne concordait pas non plus avec une lésion organique. En l'absence de radiculopathie irritative ou déficitaire, le Dr D.________ qualifiait les douleurs du membre inférieur gauche de pseudo-sciatalgies et non pas de sciatalgies. Dans les rapports du 12 janvier 2019 et du 14 septembre 2019, le Dr X.________ diagnostiquait</w:t>
      </w:r>
    </w:p>
    <w:p>
      <w:r>
        <w:t>- 19 - des lombosciatalgies gauches dans un contexte notamment de conflit vis- à-vis de la racine L3 gauche. Toutefois, un conflit de la racine L3 ne pouvait pas provoquer de sciatalgies. Le territoire de la racine L3 ne correspondait pas à Ia localisation des douleurs signalées par le recourant. Les cervico-scapulalgies bilatérales, aussi diagnostiquées par le Dr X.________ (cf. rapports du 12 janvier 2019 et du 14 septembre 2019), étaient également considérées comme incapacitantes en raison de signes de surcharge des articulations postérieures en C3-C4 et uncovertébrales en C5-C6. Le nanisme hypochondroplasique limitait la préhension des objets en raison d’un raccourcissement des doigts. Cette limitation était également mentionnée par le Prof. V.________ dans son rapport d’expertise. La tendinose bilatérale des sus-épineux, la bursite sous- acromio-deltoïdienne bilatérale et I'arthropathie acromio-claviculaire, diagnostiquées par le Dr X.________ dans les rapports du 12 janvier 2019 et 14 septembre 2019, étaient objectivées par l’échographie des épaules du 25 octobre 2018. Ces différentes pathologies étaient actuellement asymptomatiques (cf. examen des épaules). Elles ne justifiaient pas de limitations fonctionnelles. A noter que les limitations en rapport avec l’atteinte de la colonne cervicale permettaient également de diminuer les contraintes mécaniques exercées sur les épaules. Le Dr X.________ mentionnait un profil hyperlaxe. Le score de Beighton était toutefois très en dessous du seuil pour retenir un diagnostic de syndrome bénin d'hypermobilité articulaire. Les douleurs de la cheville gauche, que le recourant mettait en lien avec une entorse survenue il y a une dizaine d’années, étaient plus anciennes dès lors que le Prof. V.________ les mentionnait dans son rapport d’expertise de 2005. Au vu de l'aisance qu’avait le recourant à marcher sur les talons et la pointe des pieds, à monter et descendre un étage d’escaliers, ces douleurs n’étaient pas incapacitantes. Le kyste du faisceau dorsal du ligament scapho-Iunaire, décrit dans le rapport de l‘IRM du 27 février 2013, était asymptomatique. Il n'était pas incapacitant. L'arthrose interphalangienne distale du majeur de la main gauche n’empêchait pas la préhension. Seule une pression exercée sur la nodosité dorsale provoquait des douleurs. Cette arthrose n'était pas incapacitante. Par rapport à l’expertise du Prof. V.________, le</w:t>
      </w:r>
    </w:p>
    <w:p>
      <w:r>
        <w:t>- 20 - Dr D.________ relevait quelques changements du tableau clinique, avec la présence de pseudo-sciatalgies gauches, de cervico-scapulalgies. Convenant de l’incapacité de travail dans l’activité de maraîcher indépendant exercée de 2007 à 2009 en raison des ports de charges et des postures debout prolongées, le Dr D.________ constatait que, malgré les douleurs, le recourant conservait des ressources physiques. Il n'était pas limité dans ses tâches ménagères, ce que confirmait le Dr X.________ dans son rapport du 14 septembre 2019. Pour quitter son domicile, il devait d’ailleurs descendre trois étages d'escaliers, il faisait ses commissions, restait hors du domicile pendant 1 à 2 heures et se déplaçait souvent à pied à Lausanne. Au vu des ressources physiques conservées et de l'examen clinique rassurant, le Dr D.________ a estimé que le recourant conservait une pleine capacité de travail dans une activité adaptée se déroulant principalement en position assise, avec possibilité de se lever par intermittence, sans port de charges au-delà de 10 kg et sans activité en hauteur. c) Les pièces médicales produites, tant antérieurement que postérieurement à l’examen réalisé par le Dr D.________ ne font pas état d’éléments susceptibles de mettre en doute le bien-fondé des conclusions du SMR. aa) Avant l’examen clinique au SMR, le médecin traitant du recourant ne s’était pas prononcé de manière claire sur sa capacité de travail dans une activité adaptée. En effet, le Dr X.________ a indiqué, par rapport du 12 janvier 2019, que son patient avait dépassé ses compétences physiques et ne pouvait pas retourner dans le domaine professionnel à un poste non adapté, surtout en cas d’exposition à des mouvements répétitifs et des charges. Appelé à se déterminer sur la capacité de travail exigible dans une activité adaptée, le Dr X.________ a réaffirmé que l’activité de soudeur/ferrailleur n’était plus exigible et qu’une adaptation du poste de travail était nécessaire ; par contre, il ne</w:t>
      </w:r>
    </w:p>
    <w:p>
      <w:r>
        <w:t>- 21 - s’est pas prononcé sur le taux de capacité de travail résiduelle dans une activité adaptée (cf. rapport du 14 septembre 2019). Interpellé à nouveau sur cette question, le Dr X.________ a estimé la capacité de travail du recourant à 50 % dans une activité professionnelle offrant des alternances posturales sans port de charges, à un poste dit ergonomique prenant en compte son morphotype (cf. rapport du 23 octobre 2019), sans toutefois préciser les raisons qui justifieraient d’exclure une capacité de travail de 100 % dans une activité adaptée. bb) Postérieurement audit examen, le recourant a produit un rapport du 6 mai 2020 du Dr M.________, évaluant sa capacité de travail dans une activité adaptée à 50 % au maximum, tout en retenant les mêmes limitations fonctionnelles que le Dr D.________. Il n’a pas critiqué l’appréciation médicale du Dr D.________ ni les diagnostics posés, ni avancé d’élément objectif dont il n’aurait pas ou mal été tenu compte. Son estimation de la capacité de travail dans une activité adaptée, à 50 % au maximum, sans motivation, ne permet pas de remettre en question l’évaluation du Dr D.________. Comme relevé dans la correspondance du 24 juillet 2020 de l’intimé, ce document reflète une appréciation différente d’un même état de fait quant à la capacité de travail. Par ailleurs, dans son rapport du 20 décembre 2004, le Dr M.________ avait estimé la capacité de travail du recourant à 50 % dans une activité adaptée. Cette appréciation avait été infirmée par l’expertise du Prof. V.________, laquelle avait donné lieu à la décision de refus de prestation du 13 juin 2008 et à la décision de refus d’entrée en matière du 8 septembre 2014, entrées en force. Or,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w:t>
      </w:r>
    </w:p>
    <w:p>
      <w:r>
        <w:t>- 22 - d) Ainsi, aucun avis médical probant, antérieur ou postérieur à l’examen clinique du SMR, ne vient mettre en doute, même faiblement, les constatations et conclusions du Dr D.________, qui emportent conviction. Compte tenu de ce qui précède, le rapport d’examen du SMR remplit les réquisits jurisprudentiels pour se voir reconnaître une valeur probante entière. Dès lors, il y a lieu de retenir que le recourant présente une capacité de travail de 100 % dans une activité adaptée à ses limitations fonctionnelles. e) Enfin, il y a lieu de relever qu’il existe de nombreuses activités compatibles avec les limitations fonctionnelles du recourant, dans lesquelles il pourra mettre en valeur sa capacité de travail, telles que celles que l’intimé a mentionné dans sa feuille de calcul du</w:t>
      </w:r>
    </w:p>
    <w:p>
      <w:r>
        <w:rPr>
          <w:b/>
        </w:rPr>
        <w:t>E. 19</w:t>
      </w:r>
    </w:p>
    <w:p>
      <w:r>
        <w:t>février 2020. 7. Le dossier étant complet et permettant à la Cour de céans de statuer en pleine connaissance de cause, la mise en œuvre d’une expertise sollicitée par le recourant (cf. mémoire de recours du 14 septembre 2020), n’est pas de nature à modifier les considérations qui précèdent. Il y a donc lieu d’y renoncer, par appréciation anticipée des preuves (ATF 145 I 167 consid. 4.1 ; 140 I 285 consid. 6.3.1 ; 130 II 425 consid. 2.1). 8. a) En définitive,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LAI). En l’espèce, les frais de justice doivent être fixés à 400 fr. et mis à la charge du recourant, qui succombe. c) Il n’y a par ailleurs pas lieu d’allouer de dépens, le recourant n’obtenant pas gain de cause (art. 61 let. g LPGA).</w:t>
      </w:r>
    </w:p>
    <w:p>
      <w:r>
        <w:t>- 23 - d) La partie recourante est au bénéfice de l’assistance judiciaire. Les frais judiciaires mis à sa charge ci-avant sont donc provisoirement supportés par l’Etat et Me Hämmerli peut prétendre à une équitable indemnité pour son mandat d’office. Après examen de la liste des opérations communiquée le 16 février 2021, compte tenu de l’importance et de la complexité du litige, il convient d’arrêter l’indemnité à 3'100 francs,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