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ZD20.035396 vom 16. April 2021</w:t>
      </w:r>
    </w:p>
    <w:p>
      <w:r>
        <w:t>VD Tribunal cantonal, 2021-04-16, FR</w:t>
      </w:r>
    </w:p>
    <w:p>
      <w:r>
        <w:rPr>
          <w:b/>
        </w:rPr>
        <w:t xml:space="preserve">Quelle: </w:t>
      </w:r>
      <w:r>
        <w:t>https://mcp.opencaselaw.ch/entscheid/vd_gerichte_ZD20.035396</w:t>
      </w:r>
    </w:p>
    <w:p>
      <w:r>
        <w:t>FR: VD_GERICHTE ZD20.035396 du 16 avril 2021</w:t>
      </w:r>
    </w:p>
    <w:p>
      <w:r>
        <w:t>IT: VD_GERICHTE ZD20.035396 del 16 aprile 2021</w:t>
      </w:r>
    </w:p>
    <w:p>
      <w:pPr>
        <w:pStyle w:val="Heading2"/>
      </w:pPr>
      <w:r>
        <w:t>Erwägungen</w:t>
      </w:r>
    </w:p>
    <w:p>
      <w:r>
        <w:rPr>
          <w:b/>
        </w:rPr>
        <w:t>E. 15</w:t>
      </w:r>
    </w:p>
    <w:p>
      <w:r>
        <w:t>décembre 2020, l’assuré a maintenu ses conclusions et produit les rapports rédigés au sein du Centre hospitalier C.________ les 13 septembre 2016 et 26 septembre 2019. Le 21 janvier 2021, l’OAI a confirmé ses conclusions. L’assuré s’est déterminé une ultime fois le 7 février 2021, réitérant ne pas être en mesure d’exercer une activité lucrative à plus de 50 % compte tenu de l’arthrose du genou et de la cheville gauches.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t>- 8 - c) En l’espèce, le recours formé le 12 septembre 2020 contre la décision de l’intimé du 5 août 2020 a été interjeté en temps utile, compte tenu des féries judiciaires estivales (cf. art. 38 al. 4, let. b, LPGA sur renvoi de l’art. 60 al. 2 LPGA). Il respecte les conditions de forme prévues par la loi, au sens notamment de l’art. 61, let. b, LPGA, de sorte qu’il est recevable. 2. Le litige a pour objet le droit du recourant à des prestations de l’assurance-invalidité, singulièrement l’appréciation de sa capacité résiduelle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t>- 9 -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w:t>
      </w:r>
    </w:p>
    <w:p>
      <w:r>
        <w:t>- 10 - 5.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convient d’examiner si l’état de santé du recourant s’est péjoré, dans une mesure susceptible de modifier l’exigibilité de l’exercice d’une activité adaptée, depuis la précédente décision au fond, datée du 19 septembre 2011 et confirmée par le TAF dans son arrêt du 20 novembre 2012.</w:t>
      </w:r>
    </w:p>
    <w:p>
      <w:r>
        <w:t>- 11 - a) A la date du 19 septembre 2011, il était établi que le recourant souffrait des séquelles du polytraumatisme causé par l’accident du 16 septembre 1993, à savoir de douleurs chroniques du genou gauche, de la cheville gauche, du pied gauche et la cheville droite, ainsi que d’une arthrose post-traumatique du genou et de la cheville gauches. Des antécédents de troubles anxieux et dépressifs mixtes étaient en rémission (cf. rapport d’expertise du 17 mai 2010 des Drs N.________ et P.________, p. 11). Les experts avaient rapporté leurs constats cliniques en ces termes (cf. ibidem, p. 13) : […] Au niveau rachidien, il n'y a aucune limitation de la mobilité ni aucun trouble statique notable et enfin au niveau ostéoarticulaire périphérique, on constate, au niveau du genou gauche, la persistance d'une atteinte à la santé avec restriction de la flexion du genou gauche, des signes d'amyotrophie de la cuisse et du mollet gauche, parallèlement à des stigmates en faveur d'un syndrome rotulien gauche. Au niveau de la cheville et du pied gauche, il y a aussi une restriction de la mobilité de sa cheville notamment en flexion-extension, ainsi qu'en inversion et version parallèlement à des douleurs de l'articulation tibio-astragalienne gauche. Au pied et à la cheville droite, on constate au niveau de la cheville une légère douleur à la palpation au niveau de la malléole interne, mais aucune restriction de la mobilité tant de sa cheville que de son pied droit. Le reste de l'examen ostéoarticulaire peut être considéré comme dans les limites de la norme. Le bilan paraclinique radiologique réalisé à l'occasion de la présente expertise confirme l'existence d'une gonarthrose gauche débutante fémoro-patellaire, parallèlement à une arthrose de l'articulation tibio-astragalienne gauche, avec encore un remaniement discret du cuboïde gauche. Pour ce qui est de la cheville droite, celle-ci paraît dans les limites de la norme. Dans ces conditions, d'un point de vue somatique, on peut estimer que la situation est globalement restée inchangée depuis la date de la précédente expertise à savoir l'examen clinique qui avait été réalisé en décembre 1999 à la Policlinique I.________ du Centre hospitalier C.________, le bilan radiologique révèle ainsi une arthrose fémoro-patellaire au genou gauche et une arthrose de la cheville gauche (tibio-astragalienne) et finalement un remaniement du cuboïde gauche, mais sans signes d'arthrose associé. Il s'agit d'une atteinte à la santé qui est manifestement consécutive à l'accident dont il avait été victime en septembre 1993 avec des séquelles d'une fracture multifragmentaire de la rotule gauche ainsi que de la malléole interne gauche, du cuboïde gauche et finalement une fracture non déplacée de l'astragale droit ; ces séquelles de fractures entraînent une limitation dans sa capacité de travail en tant que nettoyeur d'installations de ventilation, ainsi qu'en tant que conducteur de minibus scolaire. […]</w:t>
      </w:r>
    </w:p>
    <w:p>
      <w:r>
        <w:t>- 12 - Les experts concluaient à une capacité de travail nulle dans l’ancienne activité de nettoyeur d’installations de ventilation et de 50 % dans l’activité de chauffeur de minibus, en raison des limitations du genou et de la cheville gauches. En revanche, l’assuré conservait une capacité de travail de 80 % dans une activité adaptée épargnant le membre inférieur gauche (cf. rapport d’expertise du 17 mai 2010, p. 13). Les limitations fonctionnelles impliquaient d’éviter les positions statiques debout prolongées plus de 30 minutes, la marche sur les terrains irréguliers, dans les escaliers, en montée et en descente, de pouvoir alterner les positions assise et debout, d’éviter le port de charges supérieures à 15 kg et la marche sur une distance répétée de plus de 100 mètres, eu égard aux atteintes du genou, de la cheville et du pied gauches (cf. ibidem, p. 15). b) Le TAF, pour sa part, a pris en considération une capacité de travail résiduelle de 70 % dans une activité adaptée, à l’issue de son arrêt du 20 novembre 2012, motivé notamment comme suit : […] 11.5 Si l'état de santé du recourant s'est amélioré du point de vue psychique, il n'en va pas de même sur le plan somatique qui semble stable dans l'ensemble avec les mêmes observations cliniques. Selon les précisions données par le COMAI lors de l'instruction menée par le Tribunal des assurances du canton de Vaud dans le cadre de la procédure CNA/SUVA, l'incapacité de travail de 50 %, quand bien même elle ressortait d'une évaluation globale de l'état de santé […], était motivée à 20 % pour des raisons psychiques. Le Tribunal cantonal a alors retenu que l'incapacité sur le seul plan somatique était de l'ordre de 30 %, ce qu'a confirmé le Tribunal fédéral dans son arrêt du 3 avril 2006. L'uniformité de la notion d'invalidité dicte qu'une même atteinte à la santé entraîne un même taux d'invalidité. Ainsi, compte tenu de l'amélioration de l'état de santé psychique qui ne présente plus de troubles invalidants et de la situation somatique inchangée, il y a lieu de retenir que le recourant présente une incapacité de travail de 30 %. […] 7. a) A la date de la décision entreprise du 5 août 2020, on dispose des rapports du Dr D.________ et du Service d’orthopédie et de traumatologie du Centre hospitalier C.________. Le 4 septembre 2018, le Dr D.________ a communiqué les éléments suivants à l’intimé :</w:t>
      </w:r>
    </w:p>
    <w:p>
      <w:r>
        <w:t>- 13 - […] La progression de la gonarthrose essentiellement fémoro- patellaire, ainsi qu'une arthrose tibio-astragalienne du même côté ne lui permettant pas d'augmenter son pensum de travail, il a redéposé une demande de rente en avril dernier. D'un point de vue strictement médical, la progression des troubles dégénératifs au niveau du genou et de l'articulation tibio- astragalienne G [réd. : gauche] traduisent une situation au moins équivalente, mais très probablement péjorée par rapport à l'état qui avait fait accorder une rente précédemment. […] Le rapport des Drs J.________ et H.________ du Centre hospitalier C.________ du 29 juillet 2016, annexé au rapport du Dr D.________, mentionnait un « ostéophyte antérieur en contact avec le col du talus et comblement de l’espace entre la malléole interne et le talus », ainsi qu’un « léger pincement articulaire de l’articulation tibio-talienne avec sclérose sous-chondrale ». Ces spécialistes envisageaient le maintien d’un traitement conservateur. Quant au Dr F.________ du Centre hospitalier C.________, il a confirmé, le 13 septembre 2016, la présence d’une arthrose post-traumatique et proposé le port de chaussures spéciales de stabilisation. b) Ultérieurement, par rapport du 8 octobre 2018, le Dr D.________ s’est exprimé en ces termes : […] 2. Le patient se plaint d'une nette recrudescence des douleurs lorsque le travail excède 50 % d'un temps complet (transport scolaire dans des véhicules à boite manuelle à raison de 2h le matin et de 2h l'après-midi). L'incapacité de travail dans l'activité exercée actuellement est de 50 % comme précédemment. La capacité de travail dans une activité moins contraignante pour la cheville et le genou (travail de bureau avec changement de position fréquent, sans port de charges) serait entière. 3. L'incapacité de travail actuelle est motivée par les douleurs dues en particuliers à la perte de la fonction de l'articulation tibio- astragalienne G. Ce handicap est cependant directement lié à la nature de son travail (conduite de véhicule à boite manuelle). […] Ce praticien a par ailleurs précisé son appréciation le 22 février 2019 : […] Je relevais […] que la capacité de travail dans l’emploi actuel ne dépassait pas 50 % et qu'il existait une capacité de travail complète théorique dans un emploi adapté (sédentaire). Cette appréciation ne traduit en aucun cas une situation plus favorable que celle qui prévalait en 2011 au moment de l'attribution de la demi-rente. Le</w:t>
      </w:r>
    </w:p>
    <w:p>
      <w:r>
        <w:t>- 14 - spécialiste en orthopédie consulté en 2016 concluait à une IT [réd. : incapacité de travail] ne dépassant pas 50 % dans son activité de chauffeur de bus scolaire et la situation est à mon sens restée stable depuis lors (en tous les cas pas améliorée). […] c) Les évaluations subséquentes, réalisées au Service d’orthopédie et de traumatologie du Centre hospitalier C.________, ont confirmé la présence d’une arthrose de la cheville et du genou (cf. rapport des Dres L.________ et K.________ des 26 juin et 26 septembre 2019 et du Dr M.________ du 2 octobre 2019). En particulier, le Dr M.________ a conclu son appréciation comme suit le 2 octobre 2019 : […] M. B.________ présente donc une gonarthrose fémoro-patellaire avancée mais stabilisée, le gênant lors des mouvements en charge répétitive ou lors des positions statiques prolongées. Malgré cela, je ne pense pas qu'une intervention de type arthroplastie unicompartimentale fémoro-patellaire pourrait lui être bénéfique pour le moment au vu de l'absence de symptomatologie marquée. Je lui propose donc de continuer tel quel avec traitement conservateur. Il va de soi qu'une activité physique à 100 % n'est pas faisable pour ce patient et que s'il doit continuer à utiliser son membre inférieur gauche, un travail à 50 % de manière fractionnée parait tout à fait convenable. […] 8. a) Les pièces susmentionnées, constituées notamment de résultats d’examens spécialisés, fournissent des renseignements exhaustifs sur la situation somatique du recourant. On peut dès lors d’emblée écarter sa conclusion tendant à une instruction complémentaire de son cas, par appréciation anticipée des preuves (cf. à ce sujet : ATF 124 V 90 consid. 4b et 122 V 157 consid. 1d). On ne voit en effet pas qu’une nouvelle évaluation par un spécialiste en orthopédie ou rhumatologie serait de nature à mettre en évidence des éléments inconnus de l’intimé à la date de la décision querellée. b) Il ressort des documents ci-dessus que le recourant présente une arthrose de la cheville gauche, au niveau du Chopart et du Lisfranc, et du genou gauche, ainsi que l’avait déjà relevé les experts précédemment mandatés par l’OAIE dans leur rapport du 17 mai 2010. Il est incontesté que ces atteintes à la santé, évolutives par nature, vont s’aggravant. Cela étant, il n’apparaît pas que celles-ci entraînent désormais de nouvelles limitations fonctionnelles dans l’exercice d’une</w:t>
      </w:r>
    </w:p>
    <w:p>
      <w:r>
        <w:t>- 15 - activité adaptée. Tant le Dr D.________ que les spécialistes du Centre hospitalier C.________, en particulier le Dr M.________, ont uniquement mentionné des restrictions en lien avec une activité sollicitant le membre inférieur gauche. Cette appréciation est superposable à celle communiquée par les Drs N.________ et P.________. Dès lors, l’état de santé du recourant induisant des restrictions similaires à celles observées dans le cadre de la décision du 19 septembre 2011, il n’y a pas de raison de modifier l’exigibilité définie à cette date. e) Etant donné ce qui précède, on peut retenir que le recourant demeure doté d’une capacité de travail supérieure ou au moins égale à 70 % dans une activité adaptée aux limitations fonctionnelles du membre inférieur gauche (cf. arrêt du TAF du 20 novembre 2012, consid. 11.5 cité supra sous consid. 6b). En dépit de la péjoration de l’arthrose diagnostiquée de longue date, son état de santé ne s’est donc pas modifié dans une mesure significative, au sens entendu par l’art. 17 LPGA, depuis la précédente décision du 19 septembre 2011. 9. a) En l’espèce, en l’absence de motif de révision, il convient de se référer à l’évaluation de l’invalidité opérée par le TAF dans son arrêt du</w:t>
      </w:r>
    </w:p>
    <w:p>
      <w:r>
        <w:rPr>
          <w:b/>
        </w:rPr>
        <w:t>E. 20</w:t>
      </w:r>
    </w:p>
    <w:p>
      <w:r>
        <w:t>novembre 2012. Ce tribunal a mis en évidence un degré d’invalidité de 39 %, lequel n’ouvre pas le droit à une rente de l’assurance-invalidité (cf. art. 28 al. 2 LAI). b) On ajoutera qu’il est établi que l’activité de transport d’enfants déployée par le recourant n’est pas entièrement adaptée à son état de santé, puisqu’elle n’est exigible qu’au taux de 50 % (cf. notamment, le rapport d’expertise du 17 mai 2010, ainsi que les rapports des Drs D.________ du 8 octobre 2018 et M.________ du 2 octobre 2019). Le recourant ne peut dès lors se prévaloir de ses difficultés à poursuivre l’exercice de cette activité, alors qu’il est encore concrètement en mesure d’exploiter une capacité de travail supérieure sur le marché ordinaire du travail. L’intimé lui a accordé une mesure d’aide au placement par communication du 6 décembre 2018, afin de l’assister dans ses recherches d’une activité correspondant à l’exigibilité. Le recourant a</w:t>
      </w:r>
    </w:p>
    <w:p>
      <w:r>
        <w:t>- 16 - toutefois refusé cette mesure le 4 mars 2019. Dès lors qu’il a décidé de poursuivre son activité de chauffeur à 50 %, des mesures professionnelles ne sont pas indiquées. 10. a) Sur le vu de ce qui précède, le recours, mal fondé, doit être rejeté, ce qui entraîne la confirmation de la décision de l’intimé du 5 août 2020.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et imputés au recourant, sont provisoirement laissés à la charge de l’Etat. Le recourant bénéficie en effet de l’assistance judiciaire, en ce sens qu’il a été exonéré de frais et d’avance de frais, par décision du magistrat instructeur du 29 octobre 2020. c) En outre, n’obtenant pas gain de cause, le recourant ne saurait prétendre des dépens (art. 55 al. 1 LPA-VD et art 61 let. g LPGA). d) Le recourant est rendu attentif au fait qu'il est tenu de rembourser le montant des frais judiciaires, dès qu'il sera en mesure de le faire en vertu de l’art. 123 al. 1 CPC, le Service juridique et législatif étant chargé de fixer les modalités de ce remboursement (cf. art. 5 RAJ [règlement cantonal vaudois du 7 décembre 2010 sur l’assistance judiciaire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