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ZD20.034684 vom 15. Juli 2021</w:t>
      </w:r>
    </w:p>
    <w:p>
      <w:r>
        <w:t>VD Tribunal cantonal, 2021-07-15, FR</w:t>
      </w:r>
    </w:p>
    <w:p>
      <w:r>
        <w:rPr>
          <w:b/>
        </w:rPr>
        <w:t xml:space="preserve">Quelle: </w:t>
      </w:r>
      <w:r>
        <w:t>https://mcp.opencaselaw.ch/entscheid/vd_gerichte_ZD20.034684</w:t>
      </w:r>
    </w:p>
    <w:p>
      <w:r>
        <w:t>FR: VD_GERICHTE ZD20.034684 du 15 juillet 2021</w:t>
      </w:r>
    </w:p>
    <w:p>
      <w:r>
        <w:t>IT: VD_GERICHTE ZD20.034684 del 15 luglio 2021</w:t>
      </w:r>
    </w:p>
    <w:p>
      <w:pPr>
        <w:pStyle w:val="Heading2"/>
      </w:pPr>
      <w:r>
        <w:t>Erwägungen</w:t>
      </w:r>
    </w:p>
    <w:p>
      <w:r>
        <w:rPr>
          <w:b/>
        </w:rPr>
        <w:t>E. 8</w:t>
      </w:r>
    </w:p>
    <w:p>
      <w:r>
        <w:t>a) En conséquence, le recours doit être admis et la décision attaquée annulée, la cause étant renvoyée à l’OAI afin qu’il en complète l’instruction dans le sens des considérants puis rende une nouvelle décision. b)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de l’OAI, qui succombe. c) Obtenant gain de cause avec l’assistance d’un avocat, le recourant a droit à une indemnité de dépens à titre de participation aux honoraires de son conseil (art. 61 let. g LPGA). Il convient d’arrêter l’équitable indemnité de partie à laquelle il a droit en tenant compte de l’importance et de la complexité du litige ainsi que du temps requis pour le traitement d’une telle affaire. Au regard de ces éléments, il se justifie de fixer forfaitairement l’indemnité à 2'500 fr., débours et éventuelle TVA compris, et de la mettre intégralement à la charge de l’autorité intimée (art. 10 et 11 du tarif du 28 avril 2015 des frais judiciaires et des dépens en matière administrative [TFJDA ; BLV 173.36.5.1]).</w:t>
      </w:r>
    </w:p>
    <w:p>
      <w:r>
        <w:t>- 36 -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