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ZD20.034468 vom 12. August 2021</w:t>
      </w:r>
    </w:p>
    <w:p>
      <w:r>
        <w:t>VD Tribunal cantonal, 2021-08-12, FR</w:t>
      </w:r>
    </w:p>
    <w:p>
      <w:r>
        <w:rPr>
          <w:b/>
        </w:rPr>
        <w:t xml:space="preserve">Quelle: </w:t>
      </w:r>
      <w:r>
        <w:t>https://mcp.opencaselaw.ch/entscheid/vd_gerichte_ZD20.034468</w:t>
      </w:r>
    </w:p>
    <w:p>
      <w:r>
        <w:t>FR: VD_GERICHTE ZD20.034468 du 12 août 2021</w:t>
      </w:r>
    </w:p>
    <w:p>
      <w:r>
        <w:t>IT: VD_GERICHTE ZD20.034468 del 12 agosto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s’inscrit dans le double contexte du droit du recourant à une rente d’invalidité à la suite du dépôt d’une seconde demande de prestations de l’assurance-invalidité en date du 19 septembre 2017 et de l’octroi d’une rente limitée dans le temps et porte sur le maintien de la rente au-delà du 30 septembre 2018, singulièrement sur l’appréciation de la capacité de travail au-delà du 20 juin 2018.</w:t>
      </w:r>
    </w:p>
    <w:p>
      <w:r>
        <w:rPr>
          <w:b/>
        </w:rPr>
        <w:t>E. 3</w:t>
      </w:r>
    </w:p>
    <w:p>
      <w:r>
        <w:t>a) L’invalidité se définit comme l’incapacité de gain totale ou partielle qui est présumée permanente ou de longue durée et qui résulte</w:t>
      </w:r>
    </w:p>
    <w:p>
      <w:r>
        <w:t>- 20 -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w:t>
      </w:r>
    </w:p>
    <w:p>
      <w:r>
        <w:t>- 21 -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e)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 au regard de la sécurité du droit, l’octroi d’une rente entré en force se doit d’avoir une certaine stabilité (TF 9C_1022/2012 du 16 mai 2013 consid. 3.2). En cas de modification de la capacité de gain, la rente doit être supprimée ou réduite avec effet immédiat si la modification paraît durable</w:t>
      </w:r>
    </w:p>
    <w:p>
      <w:r>
        <w:t>- 22 - et par conséquent stable (première phrase de l’art. 88a al. 1 RAI) ; on attendra en revanche trois mois au cas où le caractère évolutif de l’atteinte à la santé, notamment la possibilité d’une aggravation, ne permettrait pas un jugement immédiat (deuxième phrase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(TF 9C_78/2018 du 26 juin 2018 consid. 4.1 et les références).</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w:t>
      </w:r>
    </w:p>
    <w:p>
      <w:r>
        <w:t>- 23 -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5</w:t>
      </w:r>
    </w:p>
    <w:p>
      <w:r>
        <w:t>En date du 19 septembre 2017, le recourant a déposé une seconde demande de prestations de l’assurance-invalidité, invoquant une aggravation de son état de santé depuis les décisions de l’office AI du 22 avril 2015 lui ayant reconnu le droit à une rente entière d’invalidité du 1er septembre 2008 au 31 mai 2009 puis, du 1er juin au 31 août 2009, à une demi-rente. Entre autres mesures d’instruction, l’intimé a confié au Dr A.________ la réalisation d’une expertise orthopédique à laquelle celui-ci a procédé en date du 20 juin 2018. Dans son rapport du 28 août 2018, il a retenu que, dans l’activité habituelle, l’incapacité de travail était totale à compter du 11 janvier 2017, date des interventions chirurgicales pratiquées au genou gauche et au niveau lombaire. Ultérieurement, l’assuré a bénéficié de l’ablation de sa prothèse au genou gauche en décembre 2017 pour récidive de l’infection suivie d’une réimplantation de la prothèse de révision en février 2018. S’agissant de la capacité de travail, l’expert a estimé qu’elle était de 30 % dans l’activité habituelle en raison des problèmes ostéoarticulaires dès le mois d’août 2018, soit six mois après l’opération au genou gauche. En revanche, dans une activité exclusivement sédentaire et compatible avec les limitations fonctionnelles définies, la capacité de travail était entière même s’il fallait admettre une diminution de rendement de 20 % pour tenir compte des difficultés de déplacements, du ralentissement de la vitesse d’exécution et de la nécessité de prévoir des pauses d’une demi-heure deux fois par jour. Sur la base de cette expertise, l’office AI a, par décision du 11 août 2020, reconnu le droit de l’assuré à une rente entière d’invalidité dès le 1er mars 2018 compte tenu de la date du dépôt de la demande (19</w:t>
      </w:r>
    </w:p>
    <w:p>
      <w:r>
        <w:t>- 24 - septembre 2017), prestation qu’il a supprimée au 30 septembre 2018, au motif que, depuis la date de l’expertise du Dr A.________ (20 juin 2018), le recourant disposait d’une capacité de travail de 80 % dans une activité adaptée à son état de santé, le degré d’invalidité étant de 31 %. De son côté, le recourant estime, d’une part, que son état de santé n’était pas stabilisé au 30 septembre 2018 dans la mesure où il a fait l’objet de plusieurs interventions chirurgicales postérieurement à cette date et que, d’autre part, son état de santé faisait obstacle à l’exercice d’une activité professionnelle aux taux retenus dans la décision attaquée dès le 1er octobre 2018.</w:t>
      </w:r>
    </w:p>
    <w:p>
      <w:r>
        <w:rPr>
          <w:b/>
        </w:rPr>
        <w:t>E. 6</w:t>
      </w:r>
    </w:p>
    <w:p>
      <w:r>
        <w:t>a) En premier lieu, il convient de relever deux inadvertances dans les considérations fondant la décision litigieuse. aa) A l’inverse de ce qu’a retenu l’intimé, le Dr A.________ n’indique à aucun moment que la capacité de travail dans une activité adaptée serait de 80 % dès la date de son examen de juin 2018, ni le SMR d’ailleurs. En effet, s’il retient en relation avec l’activité habituelle que la capacité de travail est exigible depuis août 2018, il ne fixe pas de point de départ de la capacité de travail dans une activité adaptée. Il est inutile de l’interpeller pour plus de précision car il se déduit de son rapport (daté du 28 août 2018) que la capacité de travail dans une activité adaptée doit aussi être fixée au mois d’août 2018. En effet, l’exigibilité est fonction de la durée de la convalescence, en l’espèce de six mois, découlant de l’opération du genou gauche datant de février 2018 et compte tenu des limitations fonctionnelles dans l’activité adaptée, inhérentes également à l’atteinte du genou gauche, il est manifeste que la date de l’exigibilité ne peut être que la même. Par conséquent, la rente entière aurait dû être servie jusqu’au 30 novembre 2018 si l’amélioration avait pu être considérée durable. Or tel n’est pas le cas. bb) De fait, dans son rapport du 28 août 2018, l’expert A.________ a clairement mentionné qu’en raison d’une gonarthrose, une arthroplastie totale du genou droit était prévue pour le mois de janvier</w:t>
      </w:r>
    </w:p>
    <w:p>
      <w:r>
        <w:t>- 25 - 2019 (p. 17). Au vu de la jurisprudence relative à l’art. 88a al. 1 RAI (cf. considérant 3e ci-dessus), il ne pouvait être mis un terme au service de la rente avant cette intervention, ce d’autant que le recourant a produit, à l’appui de son courrier du 9 septembre 2019, des rapports datant des 9 et 16 octobre 2018 ainsi que du 6 novembre 2018, donc antérieurs au 30 novembre 2018, confirmant l’existence de cette opération, en l’occurrence à la date du 11 janvier 2019. b) Se pose ensuite la question de savoir si les rapports médicaux au dossier, en particulier ceux produits par le recourant dans les suites du projet de décision du 10 juillet 2019, permettent de dater le terme de l’incapacité de travail inhérente à cette arthroplastie du genou droit. aa) En l’occurrence, il y a lieu de se référer aux rapports des Drs X.________ du 6 mars 2019 et W.________ du 19 août 2019 pour retenir une exigibilité de huit semaines après la date de la consultation du Dr X.________ (6 mars 2019) aux motifs d’une part que celui-ci estime la situation favorable, ne prescrit pas de traitement au-delà de six à huit semaines ni ne prévoit de rendez-vous de contrôle à cette échéance et d’autre part que le Prof. W.________ ne fait pas état d’une évolution inattendue ou défavorable s’agissant de cette prothèse totale du genou droit. Dans la mesure où les limitations fonctionnelles retenues par l’expert liées à la prothèse totale du genou gauche sont, selon toute vraisemblance, applicables mutatis mutandis pour la prothèse totale du genou droit, sans diminution de rendement supplémentaire compte tenu du fait que l’activité adaptée ne peut être qu’une activité sédentaire, il peut être admis que cette atteinte ne modifie pas la capacité de travail dans l’activité habituelle et reporte au 30 avril 2019 la capacité de travail dans une activité adaptée aux limitations fonctionnelles, avec une diminution de rendement telle que retenue par l’expert. bb) Les hernies inguinales et hémorroïdaires et leur traitement n’entraînent notoirement pas d’incapacité de travail durable, sauf circonstances exceptionnelles non avérées dans le cas d’espèce.</w:t>
      </w:r>
    </w:p>
    <w:p>
      <w:r>
        <w:t>- 26 - c) Ainsi, au-delà du 30 avril 2019, le recourant présente une capacité de travail de 30 % dans son activité habituelle et de 80 % (taux de présence de 100 % avec diminution de rendement de 20 %) dans une activité adaptée aux limitations fonctionnelles, étant précisé que les différents rapports des médecins traitants ne diffèrent guère de l’appréciation de l’expert s’agissant de la capacité de travail dans l’activité habituelle ; ainsi, le Dr P.________ a estimé qu’elle était de 25 %, tandis que le Dr X.________ a jugé qu’elle n’excédait pas 30 % (cf. leur rapport respectif tous deux datés du 26 août 2019). Au demeurant, les médecins traitants ne font état d’aucune information objective permettant de s’écarter de la capacité de travail retenue par l’expert A.________ dans une activité adaptée. d) Il doit donc être admis que l’état de santé du recourant s’est péjoré depuis les décisions du 22 avril 2015 et que cette péjoration est à l’origine d’une incapacité de travail totale en toutes activités du 11 janvier 2017 au 30 avril 2019, partant d’une invalidité de 100 % fondant l’octroi d’une rente entière du 1er mars 2018, soit six mois après le dépôt de la demande de prestations du 19 septembre 2017 (cf. art. 28 al. 1 let. b LAI en relation avec l’art. 29 al. 1 LAI), au 31 juillet 2019, soit trois après l’amélioration de l’état de santé (art. 88a al. 1 RAI).</w:t>
      </w:r>
    </w:p>
    <w:p>
      <w:r>
        <w:rPr>
          <w:b/>
        </w:rPr>
        <w:t>E. 7</w:t>
      </w:r>
    </w:p>
    <w:p>
      <w:r>
        <w:t>Cela étant constaté, il y a lieu de déterminer le degré d’invalidité du recourant au-delà du 30 avril 2019, plus exactement de procéder à une comparaison des revenus.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w:t>
      </w:r>
    </w:p>
    <w:p>
      <w:r>
        <w:t>- 27 -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bb) Conformément à ce qui a été retenu au considérant précédent, il convient de fixer le début du délai d’attente d’une année au</w:t>
      </w:r>
    </w:p>
    <w:p>
      <w:r>
        <w:rPr>
          <w:b/>
        </w:rPr>
        <w:t>E. 11</w:t>
      </w:r>
    </w:p>
    <w:p>
      <w:r>
        <w:t>janvier 2017, date à partir de laquelle le recourant a présenté une incapacité totale de travail, pour arriver à échéance le 10 janvier 2018 (art. 28 al. 1 let. b LAI). Il convient donc de déterminer les revenus avec et sans invalidité à l'aune des circonstances prévalant en 2018. b) aa)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bb) Lors de la première demande de prestations ayant conduit aux deux décisions du 22 avril 2015, l’office AI a relevé que l’assuré avait effectué un apprentissage de cuisinier en France, sans obtention du certificat d’aptitude professionnelle (échec à l’examen théorique). En 1989, il avait obtenu la patente de cafetier-restaurateur et exercé comme restaurateur indépendant de juin 2000 à novembre 2007. Depuis le 13 février 2009, il exploitait un nouvel établissement avec sa compagne, partageant son temps de travail entre la cuisine et la gestion administrative. Toutefois, l’office AI a renoncé à prendre en compte les revenus réalisés par le recourant en tant qu’indépendant au cours des années précédentes, étant donné leur caractère fluctuant. Aussi, compte</w:t>
      </w:r>
    </w:p>
    <w:p>
      <w:r>
        <w:t>- 28 - tenu du niveau de formation et du parcours professionnel de l’intéressé, s’est-il fondé sur le niveau IV b) de la Convention collective nationale de travail pour les hôtels, restaurants et cafés (ci-après : la CCNT) « Cadre ayant régulièrement sous leurs ordres des collaborateurs pendant au moins 5 ans » pour retenir un revenu sans invalidité hypothétique de 6'919 fr., soit 89'947 fr. brut par année (6'919 fr. x 13). L’activité définie par la CCNT s’avérait également adaptée aux limitations fonctionnelles, de telle sorte que le revenu avec invalidité était identique, d’où un degré d’invalidité nul (cf. projet de décision du 14 octobre 2014). Les qualifications et titres professionnels du recourant sont demeurés inchangés depuis sa première incapacité de travail en 2007. Il a continué à exercer dans le même secteur d’activité professionnelle, si bien qu’il peut être présumé que ses compétences administratives et techniques n’ont pas diminué, à tout le moins qu’elles correspondent toujours aux critères du niveau de fonction de l’art. 10 IV b) dans la CCNT en vigueur au 1er janvier 2008, année d’ouverture du droit à la rente. Dès le 1er janvier 2012, la CCNT prévoit un nouveau système salarial touchant en particulier la classe salariale IV : il n’est tenu compte que du seul critère d’un titre de formation professionnelle supérieure, les paliers salariaux en fonction des responsabilités ou années étant supprimés. Il existe cependant la présomption d’un maintien du salaire qui serait supérieur à la nouvelle classification, sous réserve d’une résiliation. Corollairement, il devrait être admis que le revenu hypothétique retenu dans la première décision n’aurait vraisemblablement pas diminué et aurait progressé, à tout le moins à la faveur des indexations successives des versions ultérieures de la CCNT. Le revenu mensuel sans invalidité de 5'703 fr. (cf. communication interne du 4 octobre 2018) retenu par l’office AI dans la décision attaquée est largement inférieur au revenu qui aurait pu être ainsi attendu et ce sans qu’il puisse être fait état d’une modification significative des éléments économiques, structurels ou propres à la personne du recourant justifiant cette réduction. En l’occurrence, c’est à tort que l’office AI a retenu la moyenne des salaires statistiques (cf. Enquête suisse sur la structure des salaires [ESS] 2014,</w:t>
      </w:r>
    </w:p>
    <w:p>
      <w:r>
        <w:t>- 29 - tableau TA 1_tirage_skill_level, ligne 10-11, industries alimentaires, fabr. de boissons), alors qu’il s’agissait, comme exprimé dans la communication interne du 4 octobre 2018, de retenir le niveau de compétences 4 (tâches qui exigent une capacité à résoudre des problèmes complexes et à prendre des décisions fondées sur un vaste ensemble de connaissances théoriques et factuelles dans un domaine spécialisé), lequel correspond effectivement au parcours et acquis professionnels du recourant. Les ESS 2018 ont été publiées le 21 avril 2020, soit avant la décision litigieuse, de telle sorte que c’est un revenu sans invalidité de 7'619 fr. par mois, issu de ces ESS (tableau TA 1_tirage_skill_level, ligne 10-11, niveau de compétences 4), qui doit être retenu, soit 91'428 fr. par année. c)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w:t>
      </w:r>
    </w:p>
    <w:p>
      <w:r>
        <w:t>- 30 -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 détermination du revenu d’invalide suppose – à la différence de ce qui vaut dans le cadre de la fixation du revenu d’une personne sans invalidité – la prise en considération de l’obligation de diminuer le dommage (à ce sujet, voir ATF 138 I 205 consid. 3.2). Cette exigence signifie notamment que l’assuré doit entreprendre de son propre chef tout ce qu’on peut raisonnablement attendre de lui pour atténuer le mieux possible les conséquences de son invalidité, sans se limiter au domaine dans lequel il travaillait avant la survenance de son atteinte à la santé (TF 9C_393/2008 du 27 janvier 2009 consid. 3.3). cc) A la lumière de cette jurisprudence, il ne peut être tenu compte du revenu actuellement réalisé par le recourant dans son activité habituelle en vue de la fixation du revenu avec invalidité. Il convient en conséquence de se référer aux salaires statistiques de l’année 2018. Cela étant, contrairement à l’office intimé, il y a lieu de retenir non pas le niveau de compétences 1 mais 2 (tâches pratiques telles que la vente, les soins, le traitement de données et les tâches administratives, l’utilisation de machines et d’appareils électroniques, les services de sécurité et la conduite de véhicules) car le recourant peut justifier auprès d’un employeur potentiel, au vu de son parcours professionnel, de compétences organisationnelles et administratives certaines et impliquant des responsabilités. Dans le cas présent, le salaire de référence pour des</w:t>
      </w:r>
    </w:p>
    <w:p>
      <w:r>
        <w:t>- 31 - hommes exerçant les tâches pratiques (niveau de compétences 2) dans le secteur privé (production et services) était en 2018 de 5'649 fr. par mois, part au treizième salaire comprise (ESS 2018, tableau TA1_tirage_skill_level, niveau de compétences 2). Compte tenu de la durée de travail hebdomadaire de travail dans les entreprises en 2018 (41,7 heures ; cf. tableau « Durée normale de travail dans les entreprises selon la division économique » établi par l’Office fédéral de la statistique), ce montant doit être porté à 5'889 fr. 10, correspondant à un salaire annuel de 70'669 francs. Compte tenu d’une diminution de rendement de 20 %, on obtient un revenu d’invalide de 56'535 fr. 20. dd) a)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w:t>
      </w:r>
    </w:p>
    <w:p>
      <w:r>
        <w:t>- 32 - pertinent, sans toutefois substituer sa propre appréciation à celle de l'administration (cf. ATF 137 V 71 consid. 5.2). b) En l’espèce, les affections physiques du recourant et le fait qu'il doit se limiter à des travaux essentiellement sédentaires ont été pris en compte par l’expert A.________ lors de l'évaluation de sa capacité résiduelle de travail dans une activité professionnelle adaptée à sa santé; il a également pris en considération une limitation du rendement en mettant en relation la réduction de la capacité de travail et la nécessité de faire des pauses fréquentes. Dans ces circonstances, il n'y a pas lieu de retenir à ce titre un abattement du revenu d'invalide résultant des données de l'Enquête suisse de la structure des salaires (ESS), ce qui reviendrait à prendre en considération le même facteur deux fois (voir TF 8C_878/2014 du 27 janvier 2015 consid. 5.2.5 et 8C_498/2012 du 6 septembre 2012 consid. 3.1). On relèvera encore que l'âge de l’assuré (56 ans en 2018) ne constitue pas en lui-même un facteur de réduction du salaire statistique. Autrement dit, il ne suffit pas de constater qu'un assuré a dépassé la cinquantaine au moment déterminant de la naissance du droit à la rente pour que cette circonstance justifie de procéder à un abattement. Encore récemment (TF 8C_227/2017 du 17 mai 2018 consid. 5),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Au vu de ces éléments, il n’y a pas lieu de s’écarter du taux d’abattement de 10 % retenu par l’office intimé. Il s’ensuit que le revenu d’invalide doit être fixé à 50'881 fr. 65. d) Sur le vu de ce qui précède, la perte de gain s’élève à 40'546 fr. 35 (91'428 fr. – 50'881 fr. 65) et le degré d’invalidité à 44,35 % (91'428 fr – 40'546 fr. 35 / 91'428 fr. x 100), ouvrant le droit à un quart de rente d’invalidité (art. 28 al. 2 LAI) dès le 1er août 2019, soit à l’échéance d’une période de trois mois suivant l’amélioration de la capacité de gain du recourant (art. 88a al. 1 RAI en relation avec l’art. 29 al. 3 LAI).</w:t>
      </w:r>
    </w:p>
    <w:p>
      <w:r>
        <w:t>- 33 - 8. En définitive, le recours doit être admis et la décision rendue par l’office AI le 11 août 2020 réformée, en ce sens que le recourant a droit, pour la période du 1er mars 2018 au 31 juillet 2019, à une rente entière d’invalidité basée sur un degré d’invalidité de 100 % puis, dès le 1er août 2019, à un quart de rente d’invalidité, basée sur un degré d’invalidité de 44,35 %. 9. a) En dérogation à l’art. 61 let. a LPGA, la procédure de recours en matière de contestations portant sur l’octroi ou le refus de prestations de l’assurance-invalidité devant le tribunal cantonal des assurances est soumise à des frais de justice (art. 69 al. 1bis, première phrase, LAI dans sa teneur en vigueur jusqu’au 31 décembre 2020 [cf. art. 82a LPGA]). En l’espèce, les frais de justice doivent être fixés à 400 fr. et mis à la charge de l’office AI, qui succombe. b) Obtenant gain de cause avec l’assistance d’un mandataire qualifié, le recourant a droit à une indemnité de dépens à titre de participation aux honoraires de son conseil (art. 61 let. g LPGA), qu’il convient d’arrêter à 2'500 fr., débours et TVA compris (art. 10 et 11 TFJDA [tarif cantonal vaudois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