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ZD20.034325 vom 1. September 2022</w:t>
      </w:r>
    </w:p>
    <w:p>
      <w:r>
        <w:t>VD Tribunal cantonal, 2022-09-01, FR</w:t>
      </w:r>
    </w:p>
    <w:p>
      <w:r>
        <w:rPr>
          <w:b/>
        </w:rPr>
        <w:t xml:space="preserve">Quelle: </w:t>
      </w:r>
      <w:r>
        <w:t>https://mcp.opencaselaw.ch/entscheid/vd_gerichte_ZD20.034325</w:t>
      </w:r>
    </w:p>
    <w:p>
      <w:r>
        <w:t>FR: VD_GERICHTE ZD20.034325 du 1 septembre 2022</w:t>
      </w:r>
    </w:p>
    <w:p>
      <w:r>
        <w:t>IT: VD_GERICHTE ZD20.034325 del 1 settembre 2022</w:t>
      </w:r>
    </w:p>
    <w:p>
      <w:pPr>
        <w:pStyle w:val="Heading2"/>
      </w:pPr>
      <w:r>
        <w:t>Erwägungen</w:t>
      </w:r>
    </w:p>
    <w:p>
      <w:r>
        <w:rPr>
          <w:b/>
        </w:rPr>
        <w:t>E. 31</w:t>
      </w:r>
    </w:p>
    <w:p>
      <w:r>
        <w:t>décembre 2021 (cf. consid. 3 ci-dessus),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(cf. également art. 5bis al. 1 RAI). f)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(cf. Valterio, op. cit., n° 2 ad art. 16 LAI, p. 219). g) L’octroi d’une mesure de formation professionnelle initiale est subordonnée aux conditions générales de l’art. 8 al. 1 LAI. Comme toute mesure de réadaptation, celle-ci doit tout d’abord être nécessaire. Le pronostic médical établi avant sa mise en œuvre est à cet égard déterminant. En outre, le caractère nécessaire de la formation envisagée</w:t>
      </w:r>
    </w:p>
    <w:p>
      <w:r>
        <w:t>- 35 - ne doit pas seulement être déterminé en fonction de l’atteinte à la santé, mais compte tenu des possibilités de formation offertes et adéquates. C’est toutefois le genre de formation et non le niveau qui doit répondre à cette exigence (cf. Valterio, op. cit., n° 10 ad art 16 LAI, p. 222 et références citées). h) En vertu de l’art. 5 al. 3, 1ère phrase, RAI, pour calculer le montant des frais supplémentaires, on compare les frais probables de la formation de l’invalide à ceux qu’une personne non atteinte dans sa santé devrait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 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i) En l’occurrence, le recourant a bien bénéficié d’une formation professionnelle initiale, à savoir son CFC d’employé de commerce, obtenu le 30 juin 2017 (cf. note d’entretien téléphonique du 1er septembre 2017), pour lequel l’OAI lui a servi des indemnités journalières (cf. première communication du 10 janvier 2018). Par contre,</w:t>
      </w:r>
    </w:p>
    <w:p>
      <w:r>
        <w:t>- 36 - le perfectionnement professionnel effectué auprès de l’I.________ n’engendre pas de frais supplémentaires par rapport à l’atteinte à la santé, si bien qu’il n’ouvre pas le droit à des indemnités journalières (cf. seconde communication du 10 janvier 2018 [entrée en force], confirmée par la communication du 1er février 2018 [également entrée en force] et la « proposition/bilan de mesure » de la REA du 9 janvier 2018). A ce propos, le dossier est resté ouvert auprès de la REA pour le cas où le recourant ferait valoir d’autres frais en lien avec l’atteinte à la santé (cf. « proposition/bilan de mesure » de la REA du 9 janvier 2018). Le mandat a ensuite été clos pour les motifs indiqués par la REA le 10 décembre 2018. Pour le surplus, et dans la mesure où l’état de santé du recourant est stabilisé depuis le mois d’octobre 2014, selon l’expertise, probante, du X.________ (spéc. p. 34, cf. aussi pp. 28 et 32), date à compter de laquelle il n’a pas présenté d’incapacité de travail, il suit de là que les stages qui lui ont été proposés par la H.________, pour lequel, s’agissant du premier, il ne s’est même pas présenté, et, pour l’autre, ne s’est rendu sur le lieu de travail que durant quatre heures, étaient appropriés et exigibles compte tenu du fait que l’intéressé est titulaire d’un CFC d’employé de commerce. Les moyens tirés de la violation de l’art. 16 LAI doivent dès lors être également écartés. 9. A titre de mesure d’instruction, le recourant a requis, dans son recours du 3 septembre 2020 (p. 6), la mise en œuvre d’une expertise médicale et son audition par la Cour. A cet égard, et comme expliqué plus avant, les éléments au dossier, concordants, sont suffisants pour permettre à la Cour des assurances sociales de renoncer à requérir un complément d’instruction, tant sous la forme d’une nouvelle expertise, que de l’audition du recourant. Par conséquent, il n’y a pas lieu de donner suite aux réquisitions de l’intéressé. Le juge peut en effet mettre fin à l’instruction</w:t>
      </w:r>
    </w:p>
    <w:p>
      <w:r>
        <w:t>- 37 -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10. a) Vu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(cf. décision de la juge instructrice du 12 novembre 2020), ces frais sont laissés provisoirement à la charge de l’Etat (art. 122 al. 1 let. b CPC [code de procédure civile du 19 décembre 2008 ; RS 272], applicable par renvoi de l’art. 18 al. 5 LPA- VD). c) Il n’y a par ailleurs pas lieu d’allouer de dépens, le recourant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du 7 décembre 2010 sur l’assistance judiciaire en matière civile ; BLV 211.02.3]). En l’espèce, selon la liste des opérations communiquée le 20 octobre 2021, Me Neeman a chiffré à 11 heures et 50 minutes le temps consacré au</w:t>
      </w:r>
    </w:p>
    <w:p>
      <w:r>
        <w:t>- 38 - dossier du recourant. Les opérations effectuées étant justifiées, l’indemnité de conseil d’office est arrêtée à 2'408 fr. 70 (11,83 heures × 180 fr. [art. 2 al. 1 let. a RAJ] + TVA 7,7 % + débours 5 % [art. 3bis al. 1 RAJ]), TVA par 172 fr. 20 et débours par 106 fr. 50,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