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ZD20.031232 vom 25. Januar 2021</w:t>
      </w:r>
    </w:p>
    <w:p>
      <w:r>
        <w:t>VD Tribunal cantonal, 2021-01-25, FR</w:t>
      </w:r>
    </w:p>
    <w:p>
      <w:r>
        <w:rPr>
          <w:b/>
        </w:rPr>
        <w:t xml:space="preserve">Quelle: </w:t>
      </w:r>
      <w:r>
        <w:t>https://mcp.opencaselaw.ch/entscheid/vd_gerichte_ZD20.031232</w:t>
      </w:r>
    </w:p>
    <w:p>
      <w:r>
        <w:t>FR: VD_GERICHTE ZD20.031232 du 25 janvier 2021</w:t>
      </w:r>
    </w:p>
    <w:p>
      <w:r>
        <w:t>IT: VD_GERICHTE ZD20.031232 del 25 gennaio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- 11 -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s'inscrit dans le cadre d'une nouvelle demande de prestations. Il s'agit en particulier de déterminer si, compte tenu de l'art. 17 al. 1 LPGA relatif à la révision des rentes et autres prestations durables, applicable par analogie aux nouvelles demandes de prestations, la situation médicale du recourant s'est notablement aggravée entre le moment où la décision du 25 mai 2018 (dernière décision fondée sur une instruction complète) et celui où la décision litigieuse du 16 juin 2020 ont été rendues et si, le cas échéant, cette péjoration éventuelle justifierait l'octroi de prestations de l'assurance-invalidité.</w:t>
      </w:r>
    </w:p>
    <w:p>
      <w:r>
        <w:rPr>
          <w:b/>
        </w:rPr>
        <w:t>E. 3</w:t>
      </w:r>
    </w:p>
    <w:p>
      <w:r>
        <w:t>a)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w:t>
      </w:r>
    </w:p>
    <w:p>
      <w:r>
        <w:t>- 12 - modification notable, la rente est, d’office ou sur demande, révisée pour l’avenir, à savoir augmentée ou réduite en conséquence, ou encore supprimée.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En revanche, une appréciation différente d’une situation demeurée pour l’essentiel inchangée ne constitue pas un motif de révision (ATF 141 V 9 consid. 2.3).</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w:t>
      </w:r>
    </w:p>
    <w:p>
      <w:r>
        <w:t>- 13 -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Les avis médicaux établis par le SMR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w:t>
      </w:r>
    </w:p>
    <w:p>
      <w:r>
        <w:rPr>
          <w:b/>
        </w:rPr>
        <w:t>E. 5</w:t>
      </w:r>
    </w:p>
    <w:p>
      <w:r>
        <w:t>a) Selon la jurisprudence récente, tant les affections psychosomatiques que toutes les affections psychiques doivent en</w:t>
      </w:r>
    </w:p>
    <w:p>
      <w:r>
        <w:t>- 14 -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b) La preuve d’un trouble somatoforme douloureux, d’une affection psychosomatique assimilée ou d’un trouble psychique suppose, en premier lieu, que l’atteinte soit diagnostiquée par l’expert selon les règles de l’art. Le diagnostic doit également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la capacité de travail réellement exigible doit être examinée au moyen d’un catalogue d’indicateurs,</w:t>
      </w:r>
    </w:p>
    <w:p>
      <w:r>
        <w:t>- 15 -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w:t>
      </w:r>
    </w:p>
    <w:p>
      <w:r>
        <w:t>- 16 -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6</w:t>
      </w:r>
    </w:p>
    <w:p>
      <w:r>
        <w:t>En l’occurrence, l’intimé a nié au recourant le droit à une rente d’invalidité, faute d’éléments significatifs nouveaux en faveur d’une aggravation objective de son état de santé. Cette appréciation est fondée sur le (bref) avis SMR du 5 mai 2020. Or, ce seul avis n’est pas de nature à permettre de nier toute aggravation de l’état de santé du recourant depuis la dernière décision du 25 mai 2018. Lorsque cette décision avait été rendue, l’intéressé avait été en mesure de reprendre son activité habituelle depuis le 13 novembre 2017, à plein temps, et n’avait pas présenté d’incapacité de travail de plus d’une année. Il résulte toutefois des nouveaux éléments réunis dans le cadre de l’instruction de la seconde demande de prestations que le recourant n’a finalement pas été en mesure de poursuivre son activité habituelle de façonneur. Il a été en incapacité de travail totale du 5 au 25 mai 2018, puis à compter du 23 juin 2018. Il a été licencié pour le 31 mars 2019, et n’a pas repris d’activité depuis lors. Certes, la Dre H.________ a relevé dans son rapport du 13 août 2018 à P.________ que la situation n’avait pas évolué pour ce qui était des douleurs ostéoarticulaires ; l’IRM cervicale était normale, de même que les examens neurologiques et ORL ; quant au status rhumatologique, il était superposable à celui prévalant en 2017. Toutefois, le patient avait présenté en mai 2018 une crise de vertiges paroxystiques, avec nausées et difficultés de mobilisation. Depuis juin 2018, il présentait par ailleurs une bronchite et une hyperréactivité bronchique sur fond possible d’asthme et de sidérose pulmonaire ; en outre, également depuis juin 2018, des troubles dépressifs réactionnels étaient mentionnés.</w:t>
      </w:r>
    </w:p>
    <w:p>
      <w:r>
        <w:t>- 17 - Les pièces au dossier vont dans le sens des observations de la médecin traitant. Ainsi, selon le rapport du Dr E.________ du 25 mai 2018, l’examen otoneurologique était normal ; l’IRM cervicale du 18 juillet 2018 était normale pour l’âge, de même que l’angio-IRM (cf. rapport du 18 juillet 2018). Au plan neurologique, le Dr J.________ a constaté qu’il n’y avait pas d’explication aux troubles de l’équilibre de l’assuré (cf. rapport du 16 juillet 2018). Enfin, le 29 août 2018, le Dr B.________ a observé que l’ensemble du bilan clinique ne relevait pas d’atteinte organique vestibulaire. Dans son nouveau rapport du 12 décembre 2018, ce spécialiste a noté que l’examen clinique et le bilan paraclinique ne mettaient pas en évidence d’atteinte vestibulaire périphérique ou centrale, et a retenu des vertiges chroniques fonctionnels. De même, au plan pulmonaire, le Dr T.________ a constaté le 3 septembre 2018 que l’état général du recourant était bon et sa capacité pulmonaire totale normale ; il suspectait cependant qu’un syndrome d’hyperventilation chronique soit le principal responsable de la dyspnée rapportée par l’assuré, et a proposé une physiothérapie respiratoire, ainsi qu’un soutien psychiatrique. Enfin, le Prof. N.________ a relevé lors de son examen du 10 décembre 2018 une limitation par une certaine kinésiophobie, et la présence de plusieurs signes selon Waddell. En décembre 2018, ce spécialiste a ainsi remis au patient des ordonnances dans le but d’une rééducation globale afin de lutter contre le syndrome métabolique et la kinésiophobie ; si ces mesures ne s’avéraient pas salvatrices, il serait alors question de revoir le patient trois mois plus tard pour l’inclure dans une prise en charge multimodale de la douleur. Or, le Prof. N.________ a constaté le 21 mars 2019, soit trois mois plus tard, que le patient rapportait la même clinique que celle présente en décembre 2018, avec des vertiges d’origine indéterminée présents depuis juillet 2018 ; l’examen était à nouveau très limité en raison de la kinésiophobie, de la fatigue, de la peur de déclenchement de vertiges et de plusieurs signes de Waddell. Le Prof. N.________ ne s’est alors pas prononcé sur la</w:t>
      </w:r>
    </w:p>
    <w:p>
      <w:r>
        <w:t>- 18 - capacité de travail. Ses observations paraissent toutefois très similaires à celles du Dr K.________, rhumatologue, qui a examiné le recourant le 18 septembre 2017. Dans son rapport du 6 octobre 2017, le Dr K.________ avait ainsi en particulier relevé que l’intéressé présentait un syndrome douloureux, diffus au niveau du rachis, irradiant autant vers la nuque, vers le bas du dos et les fesses que dans la région thoracique latérale ; cliniquement, il avait constaté une forte démonstrativité, alors que les radiographies de la colonne cervicale et dorso-lombaire, ainsi que du bassin et des hanches, montraient des troubles dégénératifs discrets, sans éléments inquiétants. Il résulte de ce qui précède qu’au plan somatique, les atteintes ne paraissent, prima facie, pas invalidantes. En l’état du dossier toutefois, les éléments ne sont pas suffisants, en l’absence de mesures d’instruction complémentaires, pour poser ce constat, ce d’autant qu’au plan psychiatrique, de nouvelles atteintes ont été alléguées. Si le Dr Z.________ fonde pour l’essentiel la limitation de la capacité de travail de son patient sur des motifs somatiques dans son rapport du 21 mars 2019, en particulier en tant qu’il relève que le patient doit faire face à un effort physique important dans son activité professionnelle, en contact avec la poudre métallique qui pouvait contribuer aux troubles respiratoires et qu’il est limité par ses vertiges, par les troubles respiratoires (dyspnée d’effort) qui limitent l’expression orale et par ses douleurs chroniques avec difficultés pour se déplacer et la nécessité d’aide pour se lever, il a cependant exposé, dans son rapport du 20 août 2020, que le traitement avait permis une amélioration de l’anxiété et une réduction de l’idéation de mort mais que, globalement, son patient restait toujours assez déprimé, ce qui réduisait son fonctionnement de façon significative, même à domicile. Dans la mesure où le dossier est émaillé d’avis de médecins et de spécialistes constatant des signes de Waddell (cf. rapport du Dr K.________ du 6 octobre 2017 et rapports du Prof. N.________ des 10 décembre 2018 et 21 mars 2019), une kinésiophobie (cf. rapports du Dr N.________ des 10 décembre 2018 et 21 mars 2019) une anxiété (cf. rapport du Dr T.________ du 3 septembre 2018), un syndrome douloureux (cf. rapport du Dr K.________ du 6 octobre 2017), un état</w:t>
      </w:r>
    </w:p>
    <w:p>
      <w:r>
        <w:t>- 19 - dépressif (cf. rapport du Dr Z.________ du 26 mars 2019), il ne peut être exclu qu’il existe une atteinte incapacitante au plan psychiatrique. Or, le dossier n’a fait l’objet d’aucune instruction à ce niveau. Certes, les éléments au dossier sont minces, et il n’est pas exclu, comme le relève le SMR dans son avis du 22 septembre 2020 produit en procédure et auquel se réfère l’OAI, que les éléments apportés correspondent au « marasme psycho-social » dans lequel se trouve le recourant. Cette seule affirmation ne libérait cependant pas l’OAI de son obligation d’instruire.</w:t>
      </w:r>
    </w:p>
    <w:p>
      <w:r>
        <w:rPr>
          <w:b/>
        </w:rPr>
        <w:t>E. 7</w:t>
      </w:r>
    </w:p>
    <w:p>
      <w:r>
        <w:t>a) Le juge cantonal qui estime que les faits ne sont pas suffisamment élucidés a en principe le choix entre deux solutions: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est lacunaire – ce dont l’autorité devait se rendre compte au moment où elle a statué –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Il lui incombera ainsi de compléter l’instruction par la mise en œuvre d’un examen bidisciplinaire rhumatologique et psychiatrique au SMR – étant rappelé qu’il n’existe pas de droit formel à une expertise menée par un médecin externe à l’assurance (ATF 135 V 465 consid. 4) ; le cas échéant par une expertise pluridisciplinaire avec, si nécessaire, un</w:t>
      </w:r>
    </w:p>
    <w:p>
      <w:r>
        <w:t>- 20 - volet oto-rhino-laryngologique. L’intimé statuera ensuite à nouveau, étant rappelé que l’assuré est désormais âgé de 62 ans.</w:t>
      </w:r>
    </w:p>
    <w:p>
      <w:r>
        <w:rPr>
          <w:b/>
        </w:rPr>
        <w:t>E. 8</w:t>
      </w:r>
    </w:p>
    <w:p>
      <w:r>
        <w:t>Compte tenu de ce qui précède, le recours doit être admis et la décision entreprise annulée, la cause étant renvoyée à l’intimé pour complément d’instruction au sens des considérants puis nouvelle décision.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