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ZD20.027999 vom 15. Februar 2022</w:t>
      </w:r>
    </w:p>
    <w:p>
      <w:r>
        <w:t>VD Tribunal cantonal, 2022-02-15, FR</w:t>
      </w:r>
    </w:p>
    <w:p>
      <w:r>
        <w:rPr>
          <w:b/>
        </w:rPr>
        <w:t xml:space="preserve">Quelle: </w:t>
      </w:r>
      <w:r>
        <w:t>https://mcp.opencaselaw.ch/entscheid/vd_gerichte_ZD20.027999</w:t>
      </w:r>
    </w:p>
    <w:p>
      <w:r>
        <w:t>FR: VD_GERICHTE ZD20.027999 du 15 février 2022</w:t>
      </w:r>
    </w:p>
    <w:p>
      <w:r>
        <w:t>IT: VD_GERICHTE ZD20.027999 del 15 febbraio 2022</w:t>
      </w:r>
    </w:p>
    <w:p>
      <w:pPr>
        <w:pStyle w:val="Heading2"/>
      </w:pPr>
      <w:r>
        <w:t>Erwägungen</w:t>
      </w:r>
    </w:p>
    <w:p>
      <w:r>
        <w:rPr>
          <w:b/>
        </w:rPr>
        <w:t>E. 14</w:t>
      </w:r>
    </w:p>
    <w:p>
      <w:r>
        <w:t>août 2020, a octroyé à ce dernier le bénéfice de l’assistance judiciaire avec effet au 17 juillet 2020 et désigné Me Elodie Le Guen en tant qu’avocate d’office. Appelé à se prononcer sur le recours, l’OAI en a proposé le rejet par réponse du 30 novembre 2020, reprenant pour l’essentiel l’argumentaire développé dans ses précédentes écritures.</w:t>
      </w:r>
    </w:p>
    <w:p>
      <w:r>
        <w:t>- 18 - Par réplique du 29 janvier 2021, le recourant, désormais sous la plume de son conseil d’office, a modifié ses conclusions et sollicité principalement l’annulation [recte : réforme] de la décision attaquée et l’octroi d’une contribution d’assistance de douze mensualités dès le 1er janvier 2019, subsidiairement l’annulation de ladite décision et le renvoi de la cause à l’intimé pour complément d’instruction et nouvelle décision dans le sens des considérants. A titre préalable, le recourant a sollicité la mise en œuvre d’une inspection locale. Sur le fond, il a notamment fait valoir que la seule proximité géographique entre son logement et celui de son père ne suffisait pas pour conclure à une vie en commun et que, du reste, un tiers qui habiterait dans son appartement ne serait pas considérer comme vivant en commun avec B.C.________ dans la mesure où les deux logements étaient indépendants l’un de l’autre. Dès lors que les éléments au dossier montraient qu’il disposait d’un logement indépendant de celui de son père, l’intimé ne pouvait retenir l’existence d’un ménage commun. L’intéressé a conséquemment estimé qu’il pouvait prétendre au versement de douze mensualités de sa contribution d’assistance. En annexe, il a joint deux clichés de l’entrée de son logement, extraits du dossier de l’intimé. Dupliquant le 19 février 2021, l’intimé a maintenu sa position, estimant que l’assuré et son père vivaient sous le même toit et qu’à cet égard la relative autonomie de l’appartement du recourant importait peu. Se déterminant le 19 mars 2021, le recourant a persisté dans ses motifs et conclusions. Il a notamment reproché à l’OAI de se fonder uniquement sur le lien de parenté entre son père et lui pour conclure à un ménage commun, et ce malgré l’existence de logements indépendants. E n d r o i t : 1. a) La LPGA (loi fédérale du 6 octobre 2000 sur la partie générale du droit des assurances sociales ; RS 830.1) est, sauf dérogation expresse, applicable en matière d’assurance-invalidité (art. 1 al. 1 LAI [loi</w:t>
      </w:r>
    </w:p>
    <w:p>
      <w:r>
        <w:t>- 19 -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le litige porte sur le montant de la contribution d’assistance à laquelle le recourant peut prétendre suite à son accession à la majorité. Il s’agit plus particulièrement de déterminer si, dans le calcul de la contribution d’assistance, le recourant doit être considéré comme vivant seul ou en ménage commun avec son père. 3. Diverses modifications législatives et réglementaires sont entrées en vigueur au 1er janvier 2022, dans le cadre du projet de révision « développement continu de l'AI » (modification du 19 juin 2020 de la loi fédérale sur l’assurance-invalidité [RO 2021 705] ; modification du 3 novembre 2021 du règlement sur l’assurance-invalidité [RO 2021 706]). Conformément aux principes généraux en matière de droit transitoire, l'ancien droit reste applicable en l'espèce compte tenu de la date de la décision litigieuse, rendue le 18 juin 2020 (ATF 144 V 210 consid. 4.3.1 ; 138 V 176 consid. 7.1 ; TF 9C_881/2018 du 6 mars 2019 consid. 4.1). 4. 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w:t>
      </w:r>
    </w:p>
    <w:p>
      <w:r>
        <w:t>- 20 -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Lorsque le besoin d’aide subit une modification importante, les art. 87 à 88bis RAI (règlement du 17 janvier 1961 sur l'assurance- invalidité ; RS 831.201) sont applicables. En vertu de l’art. 88bis al. 2 let. a RAI, la diminution ou la suppression de la contribution d’assistance prend effet au plus tôt le premier jour du deuxième mois qui suit la notification de la décision. 5. a) Selon l’art. 42quater al. 1 LAI, l’assuré a droit à une contribution d’assistance s’il perçoit une allocation pour impotent de l’assurance-invalidité conformément à l’art. 42 al. 1 à 4 LAI (let. a), s’il vit chez lui (let. b) et s’il est majeur (let. c). L’art. 39a RAI (dans sa teneur en vigueur jusqu’au 31 décembre 2021), en relation avec l’art. 42quater al. 3 LAI, prévoit que l’assuré mineur a droit à une contribution d’assistance s’il remplit les conditions prévues à l’art. 42quater al. 1 let. a et b LAI et s’il suit de façon régulière l’enseignement scolaire obligatoire dans une classe ordinaire, une formation professionnelle sur le marché ordinaire de l’emploi ou une autre formation du degré secondaire II (let. a), s’il exerce une activité professionnelle sur le marché ordinaire de l’emploi à raison d’au moins dix heures par semaine (let. b), ou s’il perçoit un supplément pour soins intenses à raison d’au moins six heures par jour pour la couverture de ses besoins en soins et en surveillance en vertu de l’art. 42ter al. 3 LAI (let. c). L’art. 39b RAI (dans sa teneur en vigueur au 31 décembre 2021), en lien avec l’art. 42quater al. 2 LAI, précise en outre que pour avoir droit à une contribution d’assistance, l’assuré majeur dont la capacité d’exercice des droits civils est restreinte doit remplir les conditions prévues à l’art. 42quater al. 1 let. a et b LAI, ainsi que l’une des</w:t>
      </w:r>
    </w:p>
    <w:p>
      <w:r>
        <w:t>- 21 - conditions suivantes : tenir son propre ménage (let. a), suivre de façon régulière une formation professionnelle sur le marché ordinaire de l’emploi ou une autre formation du degré secondaire II ou du degré tertiaire (let. b), exercer une activité lucrative sur le marché ordinaire de l’emploi à raison d’au moins dix heures par semaine (let. c), ou avoir bénéficié, au moment de devenir majeur, d’une contribution d’assistance en vertu de l’art. 39a let. c RAI (let. d). b)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faciliter son intégration sociale et professionnelle ; parallèlement, la contribution d’assistance permet de décharger les proches qui prodiguent des soins (Message du 24 février 2010 relatif à la modification de la loi fédérale sur l’assurance-invalidité, 6e révision, premier volet, FF 2010 1647, p. 1692 ch. 1.3.4 ; TF 9C_753/2016 du 3 avril 2017 consid. 3.2). Dans ce contexte, l’art. 42quinquies LAI indique que l’assurance verse une contribution d’assistance pour les prestations d’aide dont l’assuré a besoin et qui sont fournies régulièrement par une personne physique (assistant) qui est engagée par l’assuré ou par son représentant légal sur la base d’un contrat de travail (let. a) et qui n’est pas mariée avec l’assuré, ne vit pas avec lui sous le régime du partenariat enregistré ni ne mène de fait une vie de couple avec lui et n’est pas un parent en ligne directe (let. b). Par ailleurs, l’art. 42sexies al. 1 première phrase LAI énonce que le temps nécessaire aux prestations d’aide est déterminant pour le calcul de la contribution d’assistance. L’art. 39c RAI précise à ce propos que le besoin d’aide peut être reconnu dans les domaines suivants : actes</w:t>
      </w:r>
    </w:p>
    <w:p>
      <w:r>
        <w:t>- 22 - ordinaires de la vie (let. a) ; tenue du ménage (let. b) ; participation à la vie sociale et organisation des loisirs (let. c) ; éducation et garde des enfants (let. d) ; exercice d’une activité d’intérêt public ou d’une activité bénévole (let. e) ; formation professionnelle initiale ou continue (let. f) ; exercice d’une activité professionnelle sur le marché ordinaire de l’emploi (let. g) ; surveillance pendant la journée (let. h) ; prestations de nuit (let. i). c) Selon l’art. 39g al. 1 RAI, édicté sur la base de la délégation de compétence prévue à l’art. 42sexies al. 4 LAI, l’office AI détermine le montant mensuel et le montant annuel de la contribution d’assistance. L’art. 39g al. 2 RAI précise que le montant annuel de la contribution d’assistance équivaut à douze fois le montant mensuel de la contribution d’assistance (let. a) ou à onze fois le montant mensuel de la contribution d’assistance (let. b) si l’assuré vit en ménage commun avec la personne avec laquelle il est marié ou lié par un partenariat enregistré, avec la personne avec laquelle il mène de fait une vie de couple, ou avec une personne qui est un parent en ligne directe (ch. 1), et que la personne avec laquelle il vit en ménage commun est majeure et ne bénéficie pas elle-même d’une allocation pour impotent (ch. 2). On peut ainsi attendre une certaine assistance de la part des personnes mentionnées à l’art. 39g al. 2 let. b RAI (ATF 141 V 642 consid. 4.3.1 ; voir également TF 8C_225/2014 du 21 novembre 2014 consid. 8.4). Pour définir l’aide de la famille dont il y a lieu de tenir compte, est décisive la question de savoir comment s’organiserait une communauté familiale raisonnable si elle ne pouvait pas s’attendre à recevoir des prestations d’assurance (ATF 141 V 642 consid. 4.3.2), ceci tant et aussi longtemps que cette aide en vue de diminuer le dommage apparaît objectivement possible et exigible dans le cas particulier (ATF 141 V 642 consid. 4.3.3). 6. 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- 23 -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7. a) Le présent litige s’inscrit dans le contexte d’une révision du droit à la contribution d’assistance en lien avec l’accession à la majorité du recourant. De fait, une telle circonstance doit être appréhendée sous l’angle de l’art. 17 al. 2 LPGA (TF 9C_76/2019 du 1er mai 2019 consid. 5.1 et la référence citée). Cela posé, il est patent que depuis la décision du 15 juin 2015, soit la dernière décision entrée en force reposant sur un examen matériel du cas, la situation du recourant a de toute évidence évolué du point de vue de la contribution d’assistance. Tout d’abord, l’assuré est devenu majeur le [...] novembre 2018 et a été placé sous curatelle de portée générale dès cette date. Formellement, l’intéressé ne peut donc prétendre à une contribution d’assistance qu’en tant que personne majeure dont la capacité d’exercice des droits civils est restreinte, conformément à l’art. 39b RAI. Le recourant satisfait, du reste, aux conditions posées par l’art. 39b let. d RAI dès lors que, sous curatelle de portée générale à compter de son accession à la majorité, il perçoit une allocation pour impotent (art. 42quater al. 1 let. a LAI), vit à domicile et non dans un établissement (art. 42quater al. 1 let. b LAI) et bénéficiait, au moment de devenir majeur, d’une contribution d’assistance en tant que personne mineure sur la base de l’art. 39a let. c RAI (perception d’un supplément pour soins intenses à raison d’au moins six heures par jour en vertu de l’art. 42ter al. 3 LAI). Sur le fond, il n’est en outre pas contesté que l’intéressé a cessé de passer une partie de la semaine avec chacun de ses deux parents pour ne plus être domicilié qu’au [...] à [...], qu’il ne fréquente plus d’école spécialisée et qu’il passe régulièrement ses weekends à la</w:t>
      </w:r>
    </w:p>
    <w:p>
      <w:r>
        <w:t>- 24 - Z.________ depuis le mois d’août 2019 (hormis des périodes de battement dues à la pandémie de coronavirus). Les éléments au dossier montrent en outre – sans que les parties n’en disconviennent – une évolution sous l’angle médical, avec une épilepsie moins bien contrôlée depuis 2016 et des suites d’arthrodèse ayant initialement permis une meilleure posture en chaise roulante avant d’aboutir à une décompensation (cf. rapports des 29 mai 2018, 18 mars 2019 et 14 février 2020 du Centre hospitalier N.________), l’assuré ne parvenant plus à se tenir debout ni à se retourner de manière autonome dans son lit et peinant de surcroît à maintenir l’équilibre de son tronc de manière active (cf. note de l’enquêtrice de l’OAI du 2 juillet 2019). Si le principe de la révision ne suscite donc aucune controverse, les parties s’opposent en revanche quant au calcul opéré par l’intimé pour déterminer le montant de la contribution d’assistance dès l’accession du recourant à sa majorité. b) La position des parties diverge plus particulièrement quant au point de savoir si A.C.________ fait ou pas ménage commun avec son père. aa) L’OAI a en effet retenu que le recourant vivait chez son père. A cet égard, l’office a essentiellement considéré que l’assuré occupait un appartement indépendant où il se trouvait en permanence, accompagné de son père, de l’amie de celui-ci ou d’assistants se relayant pour l’aider au quotidien. Cet appartement était entièrement équipé et les repas, les lessives et le ménage y étaient faits par le père ou les assistants ; l’assuré prenait en outre tous ses repas dans l’appartement, en compagnie de ces mêmes personnes. Une surveillance auditive était par ailleurs dispensée par le père de l’assuré durant la nuit et pendant la journée en l’absence des assistants, en laissant la porte ouverte ou au moyen d’un interphone (cf. communication interne du 12 mars 2020). A cela s’ajoutait qu’aux termes du formulaire de révision du 18 janvier 2019, l’assuré avait indiqué vivre seul, respectivement avec d’autres personnes et que, selon les informations transmises le 20 juillet 2017 par une</w:t>
      </w:r>
    </w:p>
    <w:p>
      <w:r>
        <w:t>- 25 - intervenante du Centre de moyens auxiliaires, l’appartement de l’intéressé avait une entrée indépendante mais le père pouvait aller ouvrir depuis « son logement », sa partie de l’habitation n’étant pas séparée du studio (cf. note d’entretien téléphonique du 20 juillet 2017). Le recourant, pour sa part, a contesté cette appréciation en faisant valoir que depuis sa majorité, il n’habitait pas au sein de sa famille mais dans son propre logement de deux pièces et que les auxiliaires de vie consacraient du temps à la gestion des activités ménagères. Il a également précisé que la surveillance auditive n’était possible que lorsque son père ou les assistants étaient présents dans l’appartement, en laissant ouvertes les portes desservant la seconde pièce et le couloir du logement, mais que l’interphone était en revanche utilisé par son père lorsque ce dernier quittait le studio pour se rendre dans son propre appartement. Il a ajouté que les diverses charges de son appartement faisaient l’objet d’une facturation propre, que son nom figurait sur la boîte aux lettres et que l’entrée était munie d’une sonnette (cf. courriers des 31 décembre 2019 et 23 avril 2020). Il a de surcroît souligné qu’il n’y avait pas de communication directe entre son logement et celui de son père (cf. courriel du 3 juillet 2020), respectivement que son appartement avait été clairement séparé de l’habitation principale en novembre 2019 (cf. mémoire de recours du 17 juillet 2020). A la lecture de ce qui précède, on constate que les éléments mis en exergue par le recourant portent, en définitive, sur deux aspects du calcul de la contribution d’assistance. bb) D’une part, en tant qu’il soutient ne pas faire ménage commun avec son père, l’assuré estime que c’est dès lors à tort que l’OAI a déterminé le montant annuel de la contribution d’assistance en multipliant le montant mensuel de ladite contribution par onze mois (art. 39g al. 2 let. b RAI) en lieu et place de douze mois (art. 39g al. 2 let. a RAI).</w:t>
      </w:r>
    </w:p>
    <w:p>
      <w:r>
        <w:t>- 26 - A ce propos, il y a lieu de rappeler que la contribution d’assistance a notamment pour but de permettre à l’assuré de demeurer à son domicile tout en déchargeant les proches qui lui prodiguent des soins (cf. consid. 5b supra). Cependant, ce dernier but ne saurait être sans limite. En effet, l’art. 39g al. 2 let. b RAI concrétise l’obligation générale de réduire le dommage (sur cette notion voir ATF 129 V 460 consid. 4.2 ; 123 V 230 consid. 3c ; voir également, entre autres, TF 9C_674/2019 du 9 décembre 2019 consid. 3.4.3 et la référence citée), dans le cadre de la délégation de compétence instituée à l’art. 42sexies al. 4 LAI. Dans ce contexte, est seule décisive la question de savoir comment s’organiserait une communauté familiale raisonnable si elle ne pouvait pas s’attendre à recevoir des prestations d’assurance (cf. consid. 5c supra). Or force est de constater qu’en l’espèce, les circonstances permettent au père de l’assuré d’apporter à ce dernier une aide qui apparaît objectivement possible et exigible. Peu importe à cet égard la relative autonomie de l’appartement de l’intéressé ou la manière dont la famille s’organise en interne. Il demeure en effet qu’A.C.________ et B.C.________ vivent tous deux à la même adresse, au Chemin [...] à [...]. Selon la description fournie par le Centre de moyens auxiliaires (cf. rapports des 9 juin 2015 et 7 juillet 2017), il apparaît plus précisément qu’à l’origine, la bâtisse comportait un étage avec la chambre de l’assuré, la salle de bain familiale, une salle utilisée pour la douche et une pièce avec un coin salon et une kitchenette. Des adaptations ont ensuite été réalisées avec le soutien de l’OAI afin d’aménager une porte d’entrée en lieu et place d’une porte-fenêtre à ce niveau de la maison, ainsi qu’une salle de douche adaptée au recourant – travaux qui ont vraisemblablement été réalisés en 2018. Nonobstant ces travaux, le logement principal n’a pas été séparé du studio du recourant (cf. note d’entretien téléphonique du 20 juillet 2017). Certes, le père du recourant allègue que le logement de son fils serait clairement séparé du sien depuis le mois de novembre 2019 (cf. mémoire de recours du 17 juillet 2020 p. 2), mais il ne fournit toutefois aucune précision sur le sujet. Bien plus, d’éventuels aménagements supplémentaires n’ont pas été rapportés à l’enquêtrice de l’OAI lorsqu’elle a pris contact avec le père du recourant à l’occasion du complément d’enquête réalisé au printemps 2020. Quoi qu’il en soit, il reste que les logements respectifs sont à tout le</w:t>
      </w:r>
    </w:p>
    <w:p>
      <w:r>
        <w:t>- 27 - moins contigus, celui de l’assuré se situant au rez-de-chaussée où se trouve également une partie de l’appartement du père (cf. courrier du 23 avril 2020). La configuration des lieux permet en particulier à B.C.________ d’assurer la surveillance nécessaire soit depuis la seconde pièce de l’appartement, en laissant ouvertes les portes de communication, soit au moyen d’un interphone lorsqu’il doit se rendre dans son propre appartement – et ce de jour comme de nuit (cf. courrier du 23 avril 2020). De par la contiguïté de ces deux parties de la maison, B.C.________ a par ailleurs la possibilité, depuis son logement, d’aller ouvrir aux auxiliaires lorsqu’ils arrivent par la porte d’entrée du studio de son fils (cf. note d’entretien téléphonique du 20 juillet 2017). Il y a dès lors lieu d’admettre que, si l’intéressé et son père ne pouvaient pas compter sur des prestations d’assurance, le second – qui a voulu créer un studio pour son fils quand bien même celui-ci ne serait jamais indépendant (cf. note d’entretien téléphonique du 20 juillet 2017), après avoir dû composer durant plusieurs années avec les va-et-vient des divers intervenants médico-sociaux (cf. mémoire de recours du 17 juillet 2020 p. 2) – dispenserait de l’aide au premier pour de multiples tâches au quotidien. Il n’est de surcroît pas allégué, ni a fortiori démontré, que l’aide de B.C.________ serait, en raison de l’âge de ce dernier, inexigible ou objectivement impossible pour réduire le dommage (ATF 141 V 642 consid. 4.3.3 et 4.4 ; voir également TF 8C_624/2019 du 17 janvier 2020 consid. 5.1 et 5.2). Au regard de ces circonstances, il convient par conséquent d’admettre que la limite de l’aide fournie par la contribution d’assistance est atteinte. Aussi, en application de l’obligation de réduire le dommage, il convient d’exiger du recourant qu’il ait recours à l’aide que son père peut concrètement lui fournir et ainsi de considérer que l’intéressé et son père font ménage commun au sens de l’art. 39 al. 2 let. b RAI. En ce sens, on ne peut que se rallier à l’appréciation de l’OAI et, plus particulièrement, aux conclusions des avis juristes émis les 25 mars et 11 juin 2020. L’intimé était dès lors légitimé à multiplier le montant mensuel de la contribution d’assistance par onze et non par douze.</w:t>
      </w:r>
    </w:p>
    <w:p>
      <w:r>
        <w:t>- 28 - cc) D’autre part, le recourant met en avant l’absence de domicile commun avec son père pour requérir la comptabilisation, dans la contribution d’assistance, de l’aide fournie pour les activités ménagères. A cet égard, l’enquêtrice de l’OAI a expliqué que les repas, les lessives et le ménage étaient faits dans l’appartement de l’assuré par son père ou les assistants (cf. communication interne du 12 mars 2020). Dans le rapport d’enquête rectifié du 12 mars 2020, elle n’a toutefois comptabilisé aucune aide pour les activités liées au ménage – à l’exception, pour la situation dès le 1er décembre 2018, de 6 minutes par jour sous la rubrique « planification/organisation du réseau d’assistants/de l’assistance » (ch. 2.1.1), de 10 minutes par jour sous la rubrique « supplément pour allergies, salissures par le fauteuil roulant, comportement agressif/dévastateur » (ch. 2.3.4) sous déduction de 6 % équivalant à 1 minute pour séjour en home (ch. 2.3.6), et de 3 minutes sous la rubrique « utilisation plus importante de vêtements en raison du handicap » (ch. 2.5.4) sous déduction de 6 % équivalant à 0 minute pour séjour en home (ch. 2.5.6), et, pour la situation dès le mois d’août 2019, de 6 minutes par jour sous la rubrique « planification/organisation du réseau d’assistants/de l’assistance » (ch. 2.1.1), de 10 minutes par jour sous la rubrique « supplément pour allergies, salissures par le fauteuil roulant, comportement agressif/dévastateur » (ch. 2.3.4) sous déduction de 46 % équivalant à 5 minutes pour séjour en home (ch. 2.3.6) et de 3 minutes sous la rubrique « utilisation plus importante de vêtements en raison du handicap » (ch. 3.5.4) sous déduction de 46 % équivalant à 1 minute pour séjour en home (ch. 2.5.6). Le recourant, par son père, a de son côté demandé la prise en compte de l’aide dispensée pour la préparation des repas, le maintien en ordre de la cuisine, l’entretien du domicile, la planification des menus, les achats, la lessive et le rangement du linge (cf. écriture du 31 décembre 2019). aaa) D’après la Circulaire sur la contribution d’assistance (ci- après : CCA ; valable dès le 1er janvier 2015, état au 1er janvier 2022), le</w:t>
      </w:r>
    </w:p>
    <w:p>
      <w:r>
        <w:t>- 29 - besoin d’aide est calculé au moyen d’un instrument d’enquête standardisé (ch. 4005 CCA), étant précisé que le Tribunal fédéral a retenu que cet instrument était propre en principe à remplir ce rôle (ATF 140 V 543 consid. 3.2.2). L’élément déterminant est l’aide qui est rendue nécessaire par la situation liée au handicap, que cette aide soit effectivement utilisée ou non (ch. 4008 CCA). Dans chaque domaine ou sous-domaine, le besoin d’aide est divisé en cinq degrés, auxquels correspondent des valeurs en temps pour le besoin d’aide (depuis le degré 0 = pas besoin d’aide, autonomie totale, jusqu’au degré 4 = besoin d’aide pour tout, aucune autonomie). Les degrés, avec les fourchettes correspondantes, sont saisis par domaine (ch. 4009 CCA). Chaque domaine ou sous-domaine est subdivisé en différentes activités. Pour chacune d’entre elles, il faut décider dans quel degré classer l’assuré. Une valeur en minutes est associée à chaque degré. Le total des valeurs en minutes correspondant à chaque activité donne le degré dans le domaine ou le sous-domaine en question (ch. 4015 CCA). Dans chaque domaine, des suppléments peuvent être accordés aux assurés dont le besoin est avéré et dépasse le cadre temporel disponible. En règle générale, ces suppléments ne peuvent être octroyés que si le besoin d’aide normal dans le domaine ou sous-domaine correspondant atteint au moins le degré 3 (ch. 4016 CCA). Par analogie à l’examen du droit à la rente pour les assurés s’occupant du ménage, le domaine « Ménage » est subdivisé en cinq sous- domaines (ch. 4024 CCA) : - conduite du ménage (planification, organisation, répartition du travail, contrôle) ; - alimentation (préparation, cuisson, service du repas, nettoyage de la cuisine, provisions) ; - entretien du logement (quotidien/hebdomadaire) ; - achats et courses diverses (poste, assurances, services officiels) ; - lessive, entretien des vêtements (laver, étendre et dépendre le linge, repasser, raccommoder).</w:t>
      </w:r>
    </w:p>
    <w:p>
      <w:r>
        <w:t>- 30 - Pour les mineurs et les jeunes de moins de 25 ans qui touchent une contribution d’assistance et vivent encore chez leurs parents, leurs grands-parents ou leurs parents nourriciers, ainsi que pour tous les mineurs jusqu’à 15 ans (même s’ils ne vivent pas chez leurs parents, leurs grands-parents ou leurs parents nourriciers), aucun besoin d’aide dans le domaine « Ménage » n’est reconnu. En revanche, ils peuvent engager et rémunérer des assistants aussi pour ce domaine. Ces assurés peuvent dans tous les cas faire valoir un besoin d’aide pour l’activité Planification et organisation du réseau d’aides et de l’assistance dans le sous-domaine Administration, ainsi que des suppléments pour Allergies, salissure par le fauteuil roulant ou comportement agressif ou dévastateur dans le sous- domaine Entretien du logement. Il en va de même pour la rubrique Transport/accompagnement aux consultations chez le médecin ou le thérapeute dans le sous-domaine Achats et courses diverses, ainsi que pour la rubrique Lavages nombreux en raison du handicap dans le sous- domaine Entretien du linge (ch. 4026 CCA). bbb) Le régime instauré par le ch. 4026 CCA n’aboutit pas à une nouvelle (et double) prise en compte de l’obligation de réduire le dommage, en parallèle à celle découlant déjà de l’art. 39g al. 2 let. b RAI précédemment évoqué. L’idée est, simplement, de calculer le besoin d’aide de la manière la plus concrète possible, dans le cadre défini par l’art. 42sexies al. 1 LAI. Pour comprendre le ch. 4026 CCA, il convient en effet de prendre en considération que la répartition des tâches ménagères entre tous les éventuels membres d’une famille n’intervient pas nécessairement au pro rata du nombre de personnes vivant sous le même toit. En particulier, on peut raisonnablement considérer que les assurés mineurs ou jeunes adultes – lorsqu’ils sont âgés de moins de 15 ans ou vivent chez leurs parents – ne vont usuellement pas être chargés de l’exécution de tâches ménagères sur une base régulière, respectivement qu’ils vont de toute façon être potentiellement tributaires de l’aide d’autrui. Dans ces conditions, le fait qu'un membre de la famille ne s'occupe pas lui-même d’activités ménagères n’entraîne pas, pour les autres membres (adultes) de la famille assumant la tâche en question, de</w:t>
      </w:r>
    </w:p>
    <w:p>
      <w:r>
        <w:t>- 31 - réel surcroît de travail ou alors un surcroît somme toute relativement marginal. Cette constellation ne tombe donc pas sous le coup de l’obligation générale de réduire le dommage. ccc) Il est indéniable que le recourant est âgé de moins de 25 ans et touche une contribution d’assistance. L’OAI estime de surcroît que dans la mesure où l’assuré vit chez son père, aucun besoin d’aide dans le domaine « Ménage » ne peut donc être reconnu – à l’exception du point 2.1.1 (planification du réseau d’aide et d’assistance) et des suppléments 2.3.4 pour « allergies, salissures par le fauteuil roulant, comportement agressif/dévastateur » et 2.5.4 « utilisation plus importante de vêtements en raison du handicap » (cf. rapport d’enquête du 12 mars 2020 ; cf. avis juriste du 11 juin 2020). On ne saurait toutefois s’arrêter à une application aussi schématique du ch. 4026 CCA, faisant totalement abstraction de la situation concrète du recourant. En effet, l’assuré vit désormais dans une annexe à la maison parentale. Sa situation ne peut donc être assimilée, sans autre examen, à celle d’un mineur ou d’un jeune adulte intégré à la vie et à la gestion courante du foyer familial. On ne peut, en d’autres termes, retenir sans autre analyse qu’aucune aide n’est nécessaire dans les différents sous- domaines regroupés dans le domaine « Ménage ». Or les éléments au dossier ne permettent pas de connaître l’organisation concrète autour du recourant et, partant, le besoin d’aide réellement nécessité. Pour ce qui est notamment du sous-domaine « 2.2 Alimentation », on sait par exemple que le recourant prend tous ses repas dans son studio (cf. communication interne du 12 mars 2020). On ignore en revanche si les repas sont préparés et pris en commun avec le reste de la famille dans le studio ou si le recourant, qui n’est de toute évidence pas en mesure cuisiner et de maintenir en ordre la cuisine, fait l’objet d’un traitement à part dans son studio, auquel cas l’assistance nécessaire devrait être prise en compte. S’agissant du sous-domaine « 2.3 Entretien du domicile », il apparaît que l’assuré dispose d’un studio relativement indépendant – avec sa propre</w:t>
      </w:r>
    </w:p>
    <w:p>
      <w:r>
        <w:t>- 32 - entrée, des installations sanitaires, un lave-linge et une cuisine équipée (cf. objections du 31 décembre 2019 et du 23 avril 2020). La surface à nettoyer est ainsi propre à ce logement et distincte de celle du logement de B.C.________. On ne sait du reste pas si la famille du recourant utilise les installations du studio ou non, respectivement s’il lui incombe ou pas d’en assumer l’entretien. Le besoin d’aide généré par cette situation – qui s’écarte significativement de celle d’un mineur ou d’un jeune adulte partageant le logement de ses parents – mérite donc d’être évalué. On ignore par ailleurs comment sont gérés les achats et courses pour le studio du recourant ou, plus précisément, s’ils sont effectués en marge de ceux relatifs au logement de B.C.________ (sous-domaine « 2.4 Achats et courses diverses »). Tout au plus apparaît-il que l’aide nécessitée pour se rendre chez le médecin ou à une thérapie ne peut plus être pris en compte par rapport à l’enquête réalisée en 2014, les thérapeutes se déplaçant à domicile et les visites médicales ne reposant pas sur une base régulière (cf. communication interne du 2 juillet 2019 p. 2). Enfin, si la lessive est faite dans l’appartement de l’assuré par son père ou les assistants (cf. communication interne du 12 mars 2020), rien au dossier ne permet en revanche de savoir si le reste de l’entretien du linge (repassage, pliage, rangement) est effectué en commun avec le linge de son père et de sa compagne ou séparément (sous-domaine « 2.5 Lessive/entretien des vêtements »). c) Il découle de ce qui précède que si c’est bien à juste titre que l’OAI a tenu compte d’un budget réparti sur onze mois pour le calcul annuel de la contribution d’assistance (art. 39g al. 2 let. b RAI), l’office s’est en revanche fondé sur une instruction lacunaire pour déterminer le besoin d’assistance de l’assuré dans le domaine « Ménage ». La Cour n’est, dès lors, pas en mesure de statuer à satisfaction de droit. Il convient par conséquent de renvoyer la cause à l’intimé, dès lors c’est à lui qu’il incombe en premier lieu d’instruire – conformément au principe inquisitoire qui régit la procédure dans le domaine des assurances sociales (art. 43 al. 1 LPGA). Il appartiendra ainsi à l’OAI d’investiguer plus avant le besoin d’aide concret du recourant sur le plan ménager puis, cela fait, de statuer à nouveau.</w:t>
      </w:r>
    </w:p>
    <w:p>
      <w:r>
        <w:t>- 33 - Vu l’issue du litige, il n’y a pas lieu de donner suite aux réquisitions du recourant, en particulier celle visant à la tenue d’une inspection locale (cf. mémoire de recours du 17 juillet 2020 p. 2 et réplique du 29 janvier 2021 p. 5). 8. a) En conclusion, le recours doit être partiellement admis et la décision attaquée annulée, la cause étant renvoyée à l’intimé pour complément d’instruction dans le sens des considérants et nouvelle décision. b) La procédure de recours en matière de contestations portant sur l’octroi ou le refus de prestations de l’assurance-invalidité est soumise à des frais de justice (art. 69 al. 1bis LAI).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2 décembre 2010 sur l'assistance judiciaire en matière civile ; RSV 211.02.3]). En l’espèce, les frais de justice doivent être arrêtés à 400 fr. et être mis par 200 fr. à la charge de l’office intimé et par 200 fr. à la charge de la partie recourante. Toutefois, dès lors que cette dernière partie a été mise au bénéfice de l'assistance judiciaire, ces frais sont laissés provisoirement à la charge de l'Etat. Obtenant partiellement gain de cause, la partie recourante a en outre droit à une indemnité de dépens à titre de participation aux</w:t>
      </w:r>
    </w:p>
    <w:p>
      <w:r>
        <w:t>- 34 - honoraires de son mandataire professionnel (art. 61 let. g LPGA).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In casu, l’importance et la complexité du litige justifient l’allocation d’une indemnité de 1'000 fr. à titre de dépens réduits, à la charge de l’intimé. Dans la mesure où ces dépens ne couvrent pas l'intégralité des frais de représentation du défenseur d'office, il convient encore de fixer la rémunération de Me Le Guen. Cette dernière a produit la liste de ses opérations le 2 février 2022, pour un total de 5 heures et 20 minutes de prestations d’avocat et de 15 heures et 15 minutes de prestations d’avocat-stagiaire. Contrôlée au regard de la présente procédure, cette liste doit toutefois être réduite dans la mesure où le nombre d’heures facturé ne peut pas être entièrement admis. Ainsi, 1 heure d’avocat et 2 heures d’avocat-stagiaire ont été comptabilisées pour l’examen du recours et de ses annexes (soit le projet de décision du 19 novembre 2019, les objections du 24 [recte : 23] avril 2020, la décision du 18 juin 2020 et sa lettre explicative du même jour, ainsi que le courriel de B.C.________ du 3 juillet 2020 et la réponse de l’OAI du 13 juillet 2020), ce qui paraît excessif au regard de la teneur des pièces concernées. A cela s’ajoute que pour la rédaction de la réplique, ce ne sont pas moins de 8 heures et 45 minutes qui ont été comptabilisées au tarif d’avocat-stagiaire (3 heures et 15 minutes de recherches juridiques ; 5 heures de rédaction ; 30 minutes de finalisation en lien avec un appel de B.C.________), plus 1 heure et 30 minutes de prestation d’avocat (rédaction). La réplique du 29 janvier 2021 comporte néanmoins à peine 5 pages, dont plus d’une demi-page est consacrée aux mentions usuelles d’adressage et de désignation des parties et une page entière aux conclusions. Au final, le résumé des faits tient sur environ deux pages et l’argumentaire sur environ une page. On ne saurait dès lors admettre l’indemnisation de 10 heures et 15 minutes de travail pour la rédaction d’une telle écriture. Il apparaît tout aussi excessif de comptabiliser 1 heure</w:t>
      </w:r>
    </w:p>
    <w:p>
      <w:r>
        <w:t>- 35 - 30 minutes de prestations d’avocat pour les déterminations du 19 mars 2021, dont le texte se résume à cinq paragraphes pouvant tenir sur moins d’une page et n’apportant aucun nouvel élément. Dans ces conditions, il convient de réduire à 12 heures le temps nécessaire à l’exécution du mandat confié, en retenant que le trois-quarts de ces heures, soit 9 heures, a été effectué au tarif d’avocat-stagiaire. Ainsi, compte tenu du tarif horaire de 180 fr. pour l’activité d’avocat et de 110 fr. pour l’activité d’avocat-stagiaire (art. 2 al. 1 let. a et b RAJ ), l’indemnité d’office s’élève à 1'530 fr. ([180 fr. x 3 h = 540] + [110 fr. x 9 h = 990]), à laquelle s’ajoutent les débours fixés forfaitairement à 76 fr. 50 (art. 3bis al. 1 RAJ) et la TVA au taux de 7,7 % par 123 fr.70. L’indemnité d’office en faveur de Me Le Guen s’élève par conséquent à 1'730 fr. 20. Cette indemnité étant partiellement couverte par les dépens à hauteur de 1’000 fr., le solde de 730 fr. 20 est provisoirement supporté par le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