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ZD20.024797 vom 30. September 2021</w:t>
      </w:r>
    </w:p>
    <w:p>
      <w:r>
        <w:t>VD Tribunal cantonal, 2021-09-30, FR</w:t>
      </w:r>
    </w:p>
    <w:p>
      <w:r>
        <w:rPr>
          <w:b/>
        </w:rPr>
        <w:t xml:space="preserve">Quelle: </w:t>
      </w:r>
      <w:r>
        <w:t>https://mcp.opencaselaw.ch/entscheid/vd_gerichte_ZD20.024797</w:t>
      </w:r>
    </w:p>
    <w:p>
      <w:r>
        <w:t>FR: VD_GERICHTE ZD20.024797 du 30 septembre 2021</w:t>
      </w:r>
    </w:p>
    <w:p>
      <w:r>
        <w:t>IT: VD_GERICHTE ZD20.024797 del 30 settembre 2021</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rPr>
          <w:b/>
        </w:rPr>
        <w:t>E. 2</w:t>
      </w:r>
    </w:p>
    <w:p>
      <w:r>
        <w:t>Le litige porte sur la compensation opérée par l’office intimé entre le rétroactif de rente dû à l’épouse du recourant et le total des rentes d’invalidité versé au recourant.</w:t>
      </w:r>
    </w:p>
    <w:p>
      <w:r>
        <w:rPr>
          <w:b/>
        </w:rPr>
        <w:t>E. 3</w:t>
      </w:r>
    </w:p>
    <w:p>
      <w:r>
        <w:t>a) Selon l'art. 20 al. 2 let. a LAVS (loi fédérale du 20 décembre 1946 sur l’assurance-vieillesse et survivants ; RS 831.10), auquel renvoie l’art. 50 al. 2 LAI, peuvent être compensées avec des prestations échues, notamment les créances découlant de la LAVS, de la LAI, de la LAPG (loi</w:t>
      </w:r>
    </w:p>
    <w:p>
      <w:r>
        <w:t>- 5 - fédérale du 25 septembre 1952 sur les allocations pour perte de gain en cas de service et de maternité ; RS 834.1) et de la LFA (loi fédérale du 20 juin 1952 sur les allocations familiales dans l'agriculture ; RS 836.1). Contrairement à la teneur littérale de cette disposition, la caisse de compensation a non seulement le droit mais aussi l'obligation, dans le cadre des prescriptions légales, de compenser des cotisations dues, frais de poursuites et autres frais administratifs avec des prestations échues (ATF 115 V 341 consid. 2a et les arrêts cités). b) De manière générale, la compensation en droit public – et donc notamment en droit des assurances sociales – est subordonnée à la condition que deux personnes soient réciproquement créancières et débitrices l'une de l'autre conformément à la règle posée par l'art. 120 al. 1 CO (loi fédérale du 30 mars 1911 complétant le code civil suisse [Livre cinquième : Droit des obligations] ; RS 220). Cette règle n'est cependant pas absolue. Il a toujours été admis, en effet, que l'art. 20 LAVS y déroge dans une certaine mesure pour prendre en compte les particularités relatives aux assurances sociales en ce qui concerne précisément cette condition de la réciprocité des sujets de droit posée par l'art. 120 al. 1 CO. La possibilité de compenser s'écarte de l'art. 120 al. 1 CO quand les créances opposées en compensation se trouvent en relation étroite, du point de vue de la technique d'assurance ou du point de vue juridique : dans ces situations, il n'est pas nécessaire que l'administré ou l'assuré soit en même temps créancier et débiteur de l'administration (ATF 140 V 233 consid. 3.2 ; 138 V 235 consid. 7.3 ; 137 V 175 consid. 1.2 et 2.2.1 et les références citées).</w:t>
      </w:r>
    </w:p>
    <w:p>
      <w:r>
        <w:rPr>
          <w:b/>
        </w:rPr>
        <w:t>E. 4</w:t>
      </w:r>
    </w:p>
    <w:p>
      <w:r>
        <w:t>En l’occurrence, l’office intimé a, en application de la législation et de la jurisprudence résumées au considérant précédent, procédé à la compensation du montant de 12'046 fr. – correspondant à des prestations versées en trop au recourant – avec le rétroactif des rentes revenant à son épouse. Toutefois, compte tenu de l’issue de la procédure dans la cause AI 202/20 et de l’octroi d’une rente entière d’invalidité à l’épouse du</w:t>
      </w:r>
    </w:p>
    <w:p>
      <w:r>
        <w:t>- 6 - recourant, il y a lieu de procéder à un nouveau calcul des prestations dues au recourant et, partant, d’annuler la décision attaquée.</w:t>
      </w:r>
    </w:p>
    <w:p>
      <w:r>
        <w:rPr>
          <w:b/>
        </w:rPr>
        <w:t>E. 5</w:t>
      </w:r>
    </w:p>
    <w:p>
      <w:r>
        <w:t>a) En définitive, le recours doit être admis et la décision litigieuse annulée. La cause est, pour le surplus, renvoyée à l’office intimé afin qu’il procède à un nouveau calcul de la rente. b) Il n’y a pas lieu de percevoir de frais judiciaires, le litige ne portant pas sur l’octroi ou le refus de prestations de l’assurance-invalidité (cf. art 69 al. 1bis LAI a contrario). c) La partie recourante obtient gain de cause et a droit à une indemnité de dépens à titre de participation aux honoraires de son conseil (art. 61 let. g LPGA). Il convient d’arrêter cette indemnité à 1'000 fr., débours et TVA compris (art. 10 et 11 TFJDA [tarif du 28 avril 2015 des frais judiciaires et des dépens en matière administrative ; BLV 173.36.5.1]), et de la mettre intégralement à la charge de la partie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