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ZD20.024212 vom 9. Dezember 2021</w:t>
      </w:r>
    </w:p>
    <w:p>
      <w:r>
        <w:t>VD Tribunal cantonal, 2021-12-09, FR</w:t>
      </w:r>
    </w:p>
    <w:p>
      <w:r>
        <w:rPr>
          <w:b/>
        </w:rPr>
        <w:t xml:space="preserve">Quelle: </w:t>
      </w:r>
      <w:r>
        <w:t>https://mcp.opencaselaw.ch/entscheid/vd_gerichte_ZD20.024212</w:t>
      </w:r>
    </w:p>
    <w:p>
      <w:r>
        <w:t>FR: VD_GERICHTE ZD20.024212 du 9 décembre 2021</w:t>
      </w:r>
    </w:p>
    <w:p>
      <w:r>
        <w:t>IT: VD_GERICHTE ZD20.024212 del 9 dicembre 2021</w:t>
      </w:r>
    </w:p>
    <w:p>
      <w:pPr>
        <w:pStyle w:val="Heading2"/>
      </w:pPr>
      <w:r>
        <w:t>Erwägungen</w:t>
      </w:r>
    </w:p>
    <w:p>
      <w:r>
        <w:rPr>
          <w:b/>
        </w:rPr>
        <w:t>E. 25</w:t>
      </w:r>
    </w:p>
    <w:p>
      <w:r>
        <w:t>mai 2020. Il a produit un rapport du 1er mai 2020 du Dr I.________ indiquant que l’intéressé présentait une incapacité de travail depuis le 8 août 2008, « cela pour des raisons tant physique que psychique ». f) Par décision du 5 juin 2020, l’OAI a fixé le montant du droit à la rente d’invalidité de l’assuré pour la période à partir du 1er juillet 2020, une décision relative à la période du 1er août 2015 au 30 juin 2020 devant intervenir ultérieurement. Dans un courrier accompagnant sa décision, l’OAI a indiqué considérer que l’intéressé présentait une incapacité de travail totale depuis le mois de janvier 2014 de sorte que la décision de non-entrée en matière rendue le 24 septembre 2015 devait être révisée. g) Par décision du 13 janvier 2021, l’OAI a fixé le montant du droit à la rente d’invalidité de l’assuré pour la période du 1er août 2015 au</w:t>
      </w:r>
    </w:p>
    <w:p>
      <w:r>
        <w:rPr>
          <w:b/>
        </w:rPr>
        <w:t>E. 30</w:t>
      </w:r>
    </w:p>
    <w:p>
      <w:r>
        <w:t>juin 2020. B. Par acte du 24 juin 2020, A.K.________, représenté par Me Jean- Michel Duc, a recouru à l’encontre de la décision du 5 juin 2020 auprès de la Cour des assurances sociales du Tribunal cantonal, concluant</w:t>
      </w:r>
    </w:p>
    <w:p>
      <w:r>
        <w:t>- 6 - principalement à sa réforme en ce sens qu’une rente entière d’invalidité lui soit octroyée dès le 1er février 2008 et subsidiairement à son annulation et au renvoi de la cause devant l’OAI. Il a fait valoir que son incapacité de travail avait commencé le 10 février 2007. Par réponse du 7 août 2020, l’OAI a conclu au rejet du recours. Par acte du 24 août 2020, A.K.________ a confirmé ses précédents moyens et conclusions. Le 14 janvier 2021, il a informé le juge instructeur du fait que son recours du 24 juin 2020 devait être étendu à la décision rendue le 13 janvier 2021 par l’OAI. Par courrier du 15 février 2021, le juge instructeur a informé les parties du fait que le recours complémentaire du 14 janvier 2021 était joint à celui du 14 juin 2020 pour faire l’objet d’un seul jugement. Par acte du 2 mars 2021, l’OAI a conclu au rejet du recours. Le 20 avril 2021, A.K.________ a confirmé ses précédentes écritures.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- 7 - autres conditions formelles prévues par la loi (art. 61 let. b LPGA notamment), le recours exercé le 24 juin 2020 est recevable. Il en va de même du complément au recours déposé le 14 janvier 2021 relatif à une décision rendue le 13 janvier 2021 par l’OAI. 2. Le présent litige porte sur la date à partir de laquelle le recourant peut prétendre à une rente entière de l’assurance-invalidité, singulièrement sur le moment de la survenance de son incapacité de travail et de gain. 3.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w:t>
      </w:r>
    </w:p>
    <w:p>
      <w:r>
        <w:t>- 8 -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- 9 -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(TF 8C_518/2007 du 7 décembre 2007 consid. 3.2 ; TFA I 131/03 du 22 mars 2004 consid. 2.3 ; TFA I 209/03 du 17 juin 2003 consid. 3.2.1).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5. a) En principe, il n’y a pas lieu de revenir sur les décisions entrées en force, en particulier pour des raisons d’égalité de traitement entre assurés et de sécurité du droit, notamment pour éviter de pouvoir remettre perpétuellement en cause des décisions rendues. b) Toutefois, les décisions et les décisions sur opposition formellement passées en force sont soumises à révision si l’assuré ou</w:t>
      </w:r>
    </w:p>
    <w:p>
      <w:r>
        <w:t>- 10 -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 132 V 412 consid. 5 ; 129 V 110).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(loi du 17 juin 2005 sur le Tribunal fédéral ; RS 173.110) (TF 8C_120/2017 du 20 avril 2017 consid. 2).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w:t>
      </w:r>
    </w:p>
    <w:p>
      <w:r>
        <w:t>- 11 - connus au moment du jugement principal, d’autres conclusions que le tribunal (ATF 127 V 353 consid. 5b). 6. a) En l’occurrence, il ressort des pièces au dossier que, depuis 2008, le recourant a déposé plusieurs demandes de prestations après de l’OAI. b) C’est lors de l’instruction de la première de ces demandes que l’OAI s’est procuré l’expertise du 24 juillet 2008 de la H.________, laquelle a fondé l’ensemble des décisions prises par la suite. Dans plusieurs arrêts, le Tribunal fédéral a considéré que les expertises réalisées au sein de la H.________ ne pouvaient servir de fondement à l’examen d’un droit à des prestations en raison de graves manquements aux devoirs professionnels constatés dans la gestion de l’institution, notamment de la part d’un médecin responsable du département d’expertises qui avait modifié illicitement le contenu de rapports d’expertise. Les exigences liées à la qualité de l’exécution d’un mandat d’expertise médicale en droit des assurances sociales ne pouvaient en effet être suffisamment garanties, de sorte qu’il n’était pas possible d’accorder pleine confiance à une expertise rendue par un expert œuvrant au sein de la H.________. Le Tribunal fédéral a précisé que cette conclusion s’imposait indépendamment de savoir si, dans un cas particulier, le responsable médical à l’origine des manquements constatés était concrètement intervenu dans la rédaction du rapport d’expertise ou non (ATF 144 V 258 consid. 2.3.2 ; TF 8F_8/2018 du 7 janvier 2019 consid. 2.3 ; TF 2C_32/2017 du 22 décembre 2017 consid. 7.3). L’OAI était ainsi fondé à procéder au réexamen du droit du recourant aux prestations de l’assurance-invalidité. Ce point n’est pas contesté. c) Le litige porte sur la date à partir de laquelle le recourant a présenté une incapacité de travail. L’Office intimé a fixé ce moment au mois de janvier 2014 en se fondant sur le rapport rendu par T.________ le</w:t>
      </w:r>
    </w:p>
    <w:p>
      <w:r>
        <w:t>- 12 - 19 novembre 2019. Le recourant estime quant à lui que son incapacité de travail a débuté au mois de février 2007, sa chute ayant selon lui réactivé des problématiques psychiques invalidantes. Le recourant ne formule aucun grief à l’encontre de l’expertise pluridisciplinaire rendue le 19 novembre 2019 par les Drs Q.________, V.________, W.________ et Mme B.________. Force est de constater que celle- ci est très détaillée, les spécialistes ayant procédé à un examen minutieux des pièces au dossier. Ils ont relevé les plaintes du recourant qu’ils ont ensuite confrontées à leurs constatations objectives. Ils ont étudié le quotidien et les ressources de l’intéressé. Plus particulièrement concernant le volet psychiatrique, le Dr V.________ a expliqué pour quels motifs il posait les diagnostics de modification durable de la personnalité après expérience de catastrophe – évolution torpide d’un syndrome de stress post-traumatique – et de trouble panique. Il a détaillé les raisons pour lesquelles il rejoignait l’appréciation de certains intervenants tout en se distanciant de celle du Dr [...]. C’est le lieu de relever que les importants traumatismes invoqués par le recourant comme justifiant une incapacité de travail ont été constatés par le Dr V.________ qui en a tenu compte dans son appréciation. En conclusion, l’expertise pluridisciplinaire du 19 novembre 2019 est complète et revêt une pleine valeur probante. Contrairement à ce qu’affirme le recourant, l’expertise de T.________ ne laisse pas de doute quant à la date à partir de laquelle l’atteinte à la santé psychique s’est révélée invalidante. Les experts indiquent ainsi clairement les raisons qui les ont convaincus du fait que l’incapacité de travail aurait débuté en janvier 2014. Retenant – comme le recourant – que la chute survenue le 10 février 2007 avait réactivé un état de stress post-traumatique, ils ont expliqué de manière convaincante pour quels motifs ils estimaient que l’intéressé disposait à cette époque et jusqu’en janvier 2014 de ressources suffisantes pour y faire face. Ils ont détaillé l’évolution de l’état de santé psychique du recourant en se fondant sur les documents médicaux au dossier ainsi que sur leurs propres constatations et ont ainsi conclu que celui-ci ne disposait plus, dès janvier 2014, des aptitudes qui lui avaient permis jusqu’alors d’exercer une</w:t>
      </w:r>
    </w:p>
    <w:p>
      <w:r>
        <w:t>- 13 - activité professionnelle. A cet égard, il y a lieu de constater que les rapports médicaux des 22 novembre 2007 de C.________ et des 26 juin 2008, 3 décembre 2008 et 22 novembre 2011 de l’Y.________ contiennent une description précise des troubles psychiatriques du recourant – tels que celui-ci les évoque à l’appui de son acte de recours – et que ces troubles étaient déjà clairement identifiés sans être pour autant considérés comme invalidants par les différents spécialistes. Si, dans son rapport du 27 mars 2015, le Dr D.________, spécialiste en psychiatrie et psychothérapie d’enfants et d’adolescents, a relevé que les atteintes psychiatriques du recourant préexistaient à leur première rencontre en février 2014, il ne s’est pas déterminé quant à la date à partir de laquelle il estimait que ces atteintes auraient déployé des effets sur la capacité de travail de son patient. Le rapport médical du 1er mai 2020 du Dr I.________ ne permet pas non plus de faire douter de l’opinion des experts de T.________. En effet, le médecin généraliste s’est contenté d’indiquer une incapacité de travail apparue en 2008 pour des raisons physiques et psychiques sans expliciter précisément les raisons fondant son appréciation ni sans détailler quels seraient les effets des atteintes constatées sur la capacité de travail. C’est le lieu de relever que, dans un précédent rapport plus détaillé du 6 février 2017, le Dr I.________ avait posé le diagnostic d’état anxieux dépressif apparu en 2015 ce qui laisse à penser que, pour ce médecin également, les atteintes psychiques du recourant n’ont pas d’emblée déployé un effet invalidant. En définitive, le recourant ne se prévaut d’aucun élément médical objectif mettant en cause l’opinion circonstanciée des médecins de T.________. Dans ces conditions, il y a lieu de se rallier à leurs conclusions et de retenir que le recourant présente une incapacité de travail en lien avec ses atteintes psychiatriques depuis le mois de janvier 2014. d) Au vu des nouvelles pièces médicales venant attester de l’état de santé du recourant dès sa première demande de prestation, il y a lieu de constater que les décisions des 27 janvier 2009 et 20 mars 2012 s’avèrent justifiées. A l’inverse, il convient de relever que si l’intimé avait</w:t>
      </w:r>
    </w:p>
    <w:p>
      <w:r>
        <w:t>- 14 - été en possession d’une expertise médicale exempte de tout manquement, il n’aurait pas rendu la décision du 24 septembre 2015 mais serait entré en matière sur la demande de prestations déposée le 3 février 2015 et aurait octroyé au recourant une rente d’invalidité à compter du 1er août 2015 (art. 29 al. 1 LPGA). 7. a) En conclusion, le recours, mal fondé, doit être rejeté et les décisions des 5 juin 2020 et 13 janvier 2021 confirmées.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pas lieu d’allouer de dépens, le recourant n’obtenant pas gain de cause (art. 55 al. 1 LPA-VD et art. 61 let. g LPGA). d) Lorsqu’une partie a été mise au bénéfice de l’assistance judiciaire, une équitable indemnité au conseil juridique désigné d’office pour la procédure, est supportée par le canton (art. 122 al. 1 let. a CPC).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s’agissant d’un avocat-stagiaire (art. 2 al. 1 let. a et b RAJ [règlement cantonal du 7 décembre 2010 sur</w:t>
      </w:r>
    </w:p>
    <w:p>
      <w:r>
        <w:t>- 15 - l’assistance judiciaire en matière civile ; BLV 211.02.3]). Concernant les débours, il applique un forfait de 5 % du défraiement hors taxe (art. 3bis al. 1 RAJ). Par décision du 2 juillet 2020, le recourant a été mis au bénéfice de l’assistance judiciaire avec effet au 24 juin 2020 et a obtenu à ce titre la commission d’un avocat d’office en la personne de Me Jean- Michel Duc. Ce dernier a produit sa liste des opérations le 1er février 2021. Ces opérations étant justifiées, l’indemnité de Me Duc est arrêtée à 929 fr. 20, débours et TVA compris ([821.67 {7 heures 20 à 110 fr. + 5 minutes à 180 fr.} + 5 % {débours}] + 7.7 % [TVA]). La rémunération de l’avocat d’office est provisoirement supportée par le canton (art. 122 al. 1 let. a CPC, applicable par renvoi de l’art. 18 al. 5 LPA-VD). e)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