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ZD20.018967 vom 9. Februar 2021</w:t>
      </w:r>
    </w:p>
    <w:p>
      <w:r>
        <w:t>VD Tribunal cantonal, 2021-02-09, FR</w:t>
      </w:r>
    </w:p>
    <w:p>
      <w:r>
        <w:rPr>
          <w:b/>
        </w:rPr>
        <w:t xml:space="preserve">Quelle: </w:t>
      </w:r>
      <w:r>
        <w:t>https://mcp.opencaselaw.ch/entscheid/vd_gerichte_ZD20.018967</w:t>
      </w:r>
    </w:p>
    <w:p>
      <w:r>
        <w:t>FR: VD_GERICHTE ZD20.018967 du 9 février 2021</w:t>
      </w:r>
    </w:p>
    <w:p>
      <w:r>
        <w:t>IT: VD_GERICHTE ZD20.018967 del 9 febbraio 2021</w:t>
      </w:r>
    </w:p>
    <w:p>
      <w:pPr>
        <w:pStyle w:val="Heading2"/>
      </w:pPr>
      <w:r>
        <w:t>Erwägungen</w:t>
      </w:r>
    </w:p>
    <w:p>
      <w:r>
        <w:rPr>
          <w:b/>
        </w:rPr>
        <w:t>E. 5</w:t>
      </w:r>
    </w:p>
    <w:p>
      <w:r>
        <w:t>En l’espèce, la recourante fait pour l’essentiel grief à l’intimé d’avoir fait une mauvaise appréciation des faits en ne retenant pas les limitations dont elle souffre sur le plan psychique et en faisant une lecture erronée de l’expertise orthopédique. a) aa) Au plan psychique, la recourante a effectivement fait l’objet d’une première expertise, auprès du Dr E.________ (cf. rapport du</w:t>
      </w:r>
    </w:p>
    <w:p>
      <w:r>
        <w:rPr>
          <w:b/>
        </w:rPr>
        <w:t>E. 8</w:t>
      </w:r>
    </w:p>
    <w:p>
      <w:r>
        <w:t>avril 2016). Toutefois, ni le rapport d’expertise de ce médecin, ni son complément, n’étaient probants. En effet, si l’anamnèse et la description de la vie quotidienne sont assez détaillées, l’examen et le status clinique ne sont pas fondés sur une évaluation objective de l’intéressée, mais essentiellement sur les plaintes de cette dernière, ce que l’expert précité a textuellement admis dans son complément d’expertise adressé au SMR le</w:t>
      </w:r>
    </w:p>
    <w:p>
      <w:r>
        <w:rPr>
          <w:b/>
        </w:rPr>
        <w:t>E. 13</w:t>
      </w:r>
    </w:p>
    <w:p>
      <w:r>
        <w:t>mai 2016. En conséquence, les diagnostics retenus ne sont pas fiables, ce qui suffit d’ores et déjà à écarter ladite expertise. De plus, dans son évaluation de la capacité de travail, le Dr E.________ a retenu des facteurs somatiques qui n’étaient pas considérés comme ayant une influence sur l’état de santé de la recourante dans une activité adaptée (cf. rapport du Dr C.________ du 19 août 2014) et des facteurs non médicaux (méconnaissance de la langue française, facteur socioculturel). Interpellé par le SMR, le Dr E.________ n’a en particulier pas détaillé de manière objective le status clinique ni précisé son premier rapport s’agissant de la fatigabilité et des troubles cognitifs. Dans ces circonstances c’est à juste titre que le SMR n’a pas reconnu de valeur probante au rapport du Dr E.________ (avis SMR de la Dre F.________ des 25 avril 2016 et 10 avril 2017).</w:t>
      </w:r>
    </w:p>
    <w:p>
      <w:r>
        <w:t>- 16 - bb) C’est dans ce contexte que l’OAI a mis en œuvre une nouvelle expertise, qui a été confiée au Dr K.________. Cette expertise est probante pour les motifs développés ci-dessous. Ce spécialiste a rencontré la recourante, en présence d’un interprète, le 23 mars 2018. Au terme d’un rapport d’expertise psychiatrique fouillé, il a conclu que la recourante bénéficiait d’une capacité de travail de 100 % dans l’activité de ménagère, la capacité de travail professionnelle restant purement théorique dès lors que l’assurée n’envisageait pas de travailler. Sans effet sur la capacité de travail, l’expert a fait état d’un trouble dépressif, éventuellement récurrent, de gravité légère à moyenne. Les facteurs socioculturels étaient prépondérants. Pour parvenir à cette conclusion, le Dr K.________ a procédé à une anamnèse très détaillée (pp. 10 à 18) en tenant compte du contexte médical (cf. pp. 2 à 9). Il a pris en considération les plaintes de la recourante (p. 11), a décrit le fonctionnement psychosocial de celle-ci (p. 11) et a procédé à un examen clinique (pp. 14-16). Il a aussi tenu compte de toutes les pièces médicales figurant au dossier, requérant un complément d’information auprès du psychiatre traitant. Il a en outre procédé à des tests psychométriques et à une sérologie pharmacologique ciblée. S’agissant plus précisément des exigences à remplir en matière de troubles psychiques pour qu’un rapport se voie reconnaître une pleine valeur probante, on relèvera que le Dr K.________ a recherché et posé un diagnostic clair qu’il a discuté de manière pertinente (pp. 17-22). Dans la même rubrique, l’expert a pris en compte des diagnostics différentiels et a expliqué pour quelles raisons il s’en écartait. Singulièrement, il a examiné les diagnostics retenus par le Dr E.________ et le Dr B.________, en expliquant également pourquoi il ne les retenait pas dans le cas de la recourante. Le Dr K.________ s’est également prononcé sur la cohérence (pp. 22-23), en relevant les facteurs socioculturels et l’antinomie entre les plaintes de la recourante et le traitement pharmacologique proposé par le Dr B.________. Il a également fait état de</w:t>
      </w:r>
    </w:p>
    <w:p>
      <w:r>
        <w:t>- 17 - la personnalité de la recourante (p. 22), a évoqué les ressources dont elle disposait (pp. 23-27), avant d’apprécier la situation de la recourante du point de vue de la médecine des assurances (pp. 28-30). Il convient, à ce stade, d’approfondir l’examen du rapport du Dr K.________ pour déterminer s’il a pleine valeur probante en considération du schéma d’évaluation et, partant, des différents indicateurs pertinents posés par la jurisprudence en matière de troubles psychiques. A cet égard, on relève tout d’abord que l’expert, spécialiste en psychiatrie et psychothérapie, pose et exclut les diagnostics dans les règles de l’art, en se référant au Manuel diagnostique et statistique des troubles mentaux (4e éd., texte révisé ; DSM-IV-TR) et à la Classification internationale des maladies (CIM-10). C’est ainsi qu’il retient un trouble dépressif, éventuellement récurrent, de gravité légère à moyenne. Il explique que son examen clinique montre une symptomatologie dépressive fluctuante, mais pas marquée par une anhédonie chez une assurée qui s’investit beaucoup dans ses relations avec ses enfants et ses sœurs. Le Dr K.________ admet une certaine fatigabilité, un épuisement, une vision morose et des difficultés à se projeter dans l’avenir avec des sentiments d’échec. Il ne relève pas d’idées suicidaires. Les troubles de l’endormissement ne se présentent qu’en première partie de nuit, la médication ad hoc (Zolpidem) ne semblant pas améliorer la situation. Les fringales alimentaires entraînent une obésité morbide. Toutefois, le traitement prescrit par le Dr B.________, relativement modeste sur le plan pharmacologique, contraste avec les plaintes de la recourante (pp. 19-22). Le Dr K.________ confirme le caractère fluctuant du trouble dépressif chez l’intéressée, très sensible aux éléments de stress extérieurs et aux difficultés qu’elle rencontre dans l’éducation de ses enfants ou dans la gestion de ses affaires administratives et sociales (p. 21). Cette conclusion est confirmée a posteriori par le Dr B.________ qui écrit, dans son rapport du 12 mars 2019 adressé au conseil de la recourante, que l’état de santé psychique n’évolue pas et fluctue suivant les périodes et les difficultés.</w:t>
      </w:r>
    </w:p>
    <w:p>
      <w:r>
        <w:t>- 18 - Le Dr K.________ explique les difficultés sociales (confiance, nouer des contacts) et administratives par les limitations au niveau de la langue française, une très mauvaise intégration socioculturelle et pas par l’existence d’un trouble psychique. Ces problématiques sont aussi à l’origine d’inquiétude. Cependant, la recourante ne présente pas les symptômes d’une anxiété généralisée. L’absence de traitement psychotrope spécifique (pas de prescription de Benzodiazépine ni de Prégabaline et pas d’adaptation du traitement antidépresseur) va aussi dans le sens d’une absence de troubles anxieux (p. 22). A l’instar du Dr B.________, le Dr K.________ ne retient pas de trouble de la personnalité (rapport du 25 avril 2018). Cette conclusion peut être suivie dans la mesure où l’anamnèse de l’expertisée ne met pas en évidence de perturbation sévère de la constitution caractérologique, l’intéressée ayant pu surmonter les évènements auxquels elle avait été confrontée par le passé (enfance douloureuse, séparation, immigration, cf. pp. 6-8). Sur le plan de la cohérence, il ressort de l’anamnèse du Dr K.________, mais aussi du dossier constitué par l’OAI, que l’assurée n’est pas limitée, sur le plan strictement psychique, dans ses activités quotidiennes ou dans son activité de coordinatrice en langue arabe (pp. 23, 26-27). Les plaintes de l’expertisée contrastent avec des éléments objectivables de l’anamnèse et les observations à l’examen. Ainsi, le Dr K.________ observe une discrépance entre les plaintes de la recourante dans l’éducation de ses enfants et le fait que les deux aînés ont obtenu un CFC et exercent une activité lucrative, permettant notamment de soutenir leur mère. S’agissant de la charge relative à l’éducation des trois enfants, l’expert relève qu’elle n’est pas si exceptionnelle et que la recourante bénéficie de l’aide régulière de sa sœur (pp. 7-8). L’intéressée bénéficie ainsi de ressources d’adaptation lui ayant permis notamment de surmonter la précarité de ses conditions de vie et l’éducation de ses enfants. S’agissant du traitement, le Dr B.________ a évoqué une</w:t>
      </w:r>
    </w:p>
    <w:p>
      <w:r>
        <w:t>- 19 - adaptation de la composante pharmacologique sans toutefois y donner suite une fois les affections somatiques stabilisées (rapport du 25 avril 2018), ce qui laisse perplexe sur la nécessité d’une modification du traitement. Le Dr K.________ s’est penché sur les ressources de la recourante. Selon l’expert, les éléments objectivables de l’anamnèse et des examens réalisés témoignent de ressources préservées chez l’expertisée (p. 23 et 26-27). En définitive, le Dr K.________ retient que ce sont les limitations au niveau de la langue française, une mauvaise intégration socioculturelle et le choix assumé de la recourante de ne pas travailler qui restreignent la capacité de travail de l’intéressée et non des facteurs médicaux (p. 29, cf. consid. 4d ci-dessus). La limitation de l’endurance révélée au cours des tests psychométriques est à mettre sur le compte des facteurs somatiques. Sur le plan strictement psychique, la capacité de travail est entière. Le Dr K.________ précise que l’anamnèse du Dr E.________ était peu développée et que son examen clinique n’était pas consistant (p. 27). Ce raisonnement peut être suivi dans la mesure où le premier expert s’est essentiellement fondé sur les plaintes de la recourante sans présenter d’observations cliniques. Pour le surplus, la recourante ne peut être suivie lorsqu’elle affirme que l’usage du terme « insidieusement » en p. 11 (ch. 2.2) de l’expertise devrait conduire à retenir un manque d’objectivité de la part de l’expert. On rappellera que le terme litigieux a été utilisé alors qu’il était question de l’aide d’une femme de ménage, et d’un coup de main donné par une voisine ; on voit mal pour quelles raisons il s’agirait d’éléments centraux pour l’appréciation de la capacité de travail, respectivement d’éléments de nature à jeter un doute sur l’impartialité de l’expert psychiatre. Cela étant, il sera question de l’aide-ménagère ci-après dans le volet somatique, étant constant que l’expertise probante du Dr K.________ permet d’exclure une atteinte incapacitante au niveau psychique.</w:t>
      </w:r>
    </w:p>
    <w:p>
      <w:r>
        <w:t>- 20 - La recourante affirme que le rapport présenterait des contradictions. A ce propos, l’expert a relevé que l’assurée avait indiqué voir sa sœur cadette deux fois par semaine, et sa sœur aînée une fois (expertise, p. 11). Il s’agit des déclarations de l’intéressée elle-même. Dans ces conditions, on peine à suivre l’argument selon lequel les constats du Dr K.________ seraient en contradiction avec ceux de son psychiatre traitant. Au demeurant, cette considération est parfaitement adéquate pour évaluer les ressources sociales de l’assurée en relation avec son entourage. De ce point de vue, le soutien obtenu auprès des sœurs de la recourante s’est amélioré depuis 2014 où le Dr B.________ relevait que les sœurs se montraient « peu soutenantes » (comp. rapport du 4 avril 2014). Enfin, la recourante fait grief à l’expert de voir dans ses siestes une conséquence de son surpoids. Or, dans le compte-rendu de l’examen clinique du 23 mars 2018, l’expert K.________ observe que l’assurée s’est montrée tout à fait courtoise, collaborait, et répondait au mieux aux questions qui lui étaient posées, apparaissant globalement authentique. Le Dr K.________ indique que l’examen neurologique était dans la norme, que l’intéressée pouvait reconstituer son histoire personnelle de manière relativement précise et organisée, et qu’il n’y avait pas de troubles patents de la concentration, ou de la mémoire d’évocation ; l’intelligence était plutôt vive, et le jugement et le raisonnement conservés. L’expert relève que l’assurée peut ressentir de grandes satisfactions avec sa famille et ses enfants. L’expert note également que le tableau clinique était essentiellement caractérisé par une sensation de fatigabilité, d’épuisement, avec parfois une humeur morose et une vision négative de l’avenir. Il n’a pas fait le lien que lui prête la recourante entre son obésité et ses siestes. Finalement, rien ne justifie d’écarter l’appréciation du Dr K.________, motivée et probante. Au moment de se prononcer, l’expert bénéficiait d’un tableau clinique clair et complet après interpellation du psychiatre traitant. Postérieurement à l’expertise, le Dr B.________ a fait état d’une situation globalement stationnaire ces dernières années, montrant une absence de péjoration de l’état de santé psychique de la</w:t>
      </w:r>
    </w:p>
    <w:p>
      <w:r>
        <w:t>- 21 - recourante (rapport du 12 mars 2019). La recourante ne présente dès lors pas, sur le plan psychique, des empêchements qui auraient été niés et devraient se répercuter sur sa capacité à entretenir son ménage, respectivement à travailler. Au terme de cette analyse, il y a lieu d’admettre que le rapport d’expertise, complet et fouillé, du Dr K.________ remplit tous les réquisits jurisprudentiels pour se voir reconnaître une pleine valeur probante. cc) C’est ainsi à juste titre que l’intimé a retenu que les facteurs psychosociaux affectant la recourante ne relevaient pas de l’assurance-invalidité. b) Au plan somatique, l’intimé a réuni les rapports des différents médecins qui suivent la recourante. Afin d’objectiver d’éventuelles nouvelles limitations fonctionnelles orthopédiques et l’évolution de la capacité de travail dans une activité adaptée et dans l’activité habituelle depuis 2014, l’OAI a mis en œuvre une expertise orthopédique, qui a été confiée au Dr P.________. En l’occurrence, il n’est pas contesté que la recourante présente une gonarthrose bilatérale avec effet sur la capacité de travail (rapport du Dr P.________ du 9 décembre 2019, p. 7 ; rapport du Dr C.________ du 19 août 2014 ; rapport du Dr Q.________ du 11 janvier 2019). On peut se rallier aux conclusions étayées et motivées du Dr P.________. Ainsi que l’a relevé la Dre M.________ du SMR, l’expert orthopédiste expose à satisfaction ses constats cliniques objectifs en lien avec la problématique aux deux genoux (pp. 5-6). Il clarifie également les limitations fonctionnelles permettant d’épargner les articulations atteintes (activité sédentaire, essentiellement assise ; courts déplacements à plat possibles ; éviter la position à genoux ou accroupie, la marche en terrain irrégulier, la montée des pentes et escaliers, ainsi que le port de charges lourdes ; cf. p. 8). Ces limitations sont superposables à celles mentionnées pour les genoux par le Dr C.________ (rapport du 19 août 2014 ; cf. aussi</w:t>
      </w:r>
    </w:p>
    <w:p>
      <w:r>
        <w:t>- 22 - avis SMR du 25 avril 2016 et rapport SMR du 14 août 2018). Dans le rapport produit le 1er mars 2018 par l’avocate de l’assurée, le Dr O.________ fait quant à lui mention d’une aggravation de la gonarthrose bilatérale depuis 2018. L’IRM du genou droit du 4 février 2019 faisait toutefois aussi état d’une aggravation. Ces documents ne permettent toutefois pas de poser de plus amples limitations fonctionnelles que celles retenues par le Dr P.________, ceci dans le cadre d’une pathologie notoirement dégénérative. Vu l’indication à une arthroplastie totale des deux genoux et vu que l’exigibilité professionnelle ne porte que sur une activité sédentaire, essentiellement assise, les limitations fonctionnelles évoquées ci-dessus ne vont pas évoluer, même si l’atteinte à l’articulation peut encore s’aggraver, le cas échéant jusqu’à rupture. Le Dr Q.________, consulté en second avis, s’il confirme les diagnostics retenus, ne se prononce que sur la limitation fonctionnelle relative au port de charges lourdes, qui était à éviter. L’expert disposait ainsi des avis des médecins ayant examiné la recourante et de toutes les imageries au dossier (radiographies du genou gauche du 27 novembre 2018 ; IRM du genou gauche du 27 novembre 2018 et IRM du genou droit du 4 février 2019). Sur le plan clinique, l’expert a procédé aux examens usuels pour les membres supérieurs, la colonne vertébrale et les membres inférieurs, les plaintes de la recourante étant cohérentes avec le status observé. L’expertise fournit ainsi une vision cohérente et exhaustive de la situation. Le rapport de consultation du Dr O.________ du 5 octobre 2020 n’est quant à lui pas contributif. Le spécialiste consulté par l’intéressée n’expose pas les raisons qui rendent impossible la reprise d’une activité adaptée aux limitations fonctionnelles. Le fait que les infiltrations n’aient plus d’effet n’est pas pertinent. En effet, le Dr P.________ préconisait une arthroplastie totale bilatérale et non la poursuite du traitement conservateur, voué à l’échec selon lui (p. 8). Le rapport de consultation du Dr O.________ est ainsi tout à fait insuffisant pour faire douter de l’appréciation de l’expert. Quant à l’impact sur la capacité de travail du prolapsus utérin, évoqué par le Dr N.________ (rapport du 26 février 2019) et la Dre L.________ (rapport du 15 mai 2018), il n’est plus significatif</w:t>
      </w:r>
    </w:p>
    <w:p>
      <w:r>
        <w:t>- 23 - compte tenu de l’intervention chirurgicale intervenue le</w:t>
      </w:r>
    </w:p>
    <w:p>
      <w:r>
        <w:rPr>
          <w:b/>
        </w:rPr>
        <w:t>E. 14</w:t>
      </w:r>
    </w:p>
    <w:p>
      <w:r>
        <w:t>novembre 2019. La lecture que fait le SMR du rapport du Dr P.________ n’est pas critiquable, dans la mesure où l’expert estime que l’activité professionnelle de coordinatrice pour des clients de langue arabe respecte les limitations fonctionnelles (activité sédentaire, essentiellement assise ; courts déplacements à plat possibles ; éviter la position à genoux ou accroupie, la marche en terrain irrégulier, la montée des pentes et escaliers, ainsi que le port de charges lourdes). Le Dr P.________ admet une diminution du rendement de 25 % « en raison des importantes difficultés pour les déplacements » (p. 8). L’expert préconise une arthroplastie totale des deux genoux qui permettrait à la recourante d’obtenir une capacité de travail de 100 % dans une activité adaptée aux limitations fonctionnelles. Toutefois, à l’instar de ce que la Dre M.________ du SMR a estimé, la diminution de rendement pouvait être contournée par l’usage de cannes ou d’attelles stabilisatrices pour les genoux, actuellement pas utilisées d’après l’expert (p. 4). Ceci d’autant plus qu’une activité consistant à prendre des rendez-vous médicaux pour des tiers peut aussi être exercée – à tout le moins partiellement – à domicile. c) Enfin, et pour autant que de besoin, on relèvera que depuis son arrivée en Suisse en 2000, la recourante n’a jamais exercé d’activité lucrative (sous réserve de son activité de coordinatrice à 30%, exercée du mois d’octobre 2018 au mois d’avril 2019). Il n’y a du reste aucune inscription de cotisations à son compte individuel AVS selon l’extrait au dossier daté du 10 février 2014. La recourante elle-même a expliqué lorsqu’elle a été entendue par le Dr K.________ et le Dr P.________ qu’elle n’avait jamais travaillé. La recourante ne s’est ainsi pas inscrite au chômage et n’a pas effectué d’autre recherche d’emploi. Il suit de là qu’elle doit être considérée comme une personne non active, par choix personnel. La réalisation d’une enquête ménagère, au demeurant non requise par la recourante, ne se justifie cependant pas, faute de limitations fonctionnelles se répercutant significativement sur l’exercice d’une activité adaptée, et donc, à plus forte raison, au plan ménager. En</w:t>
      </w:r>
    </w:p>
    <w:p>
      <w:r>
        <w:t>- 24 - effet, l’assuré qui demande des prestations doit d’abord entreprendre tout ce que l’on peut raisonnablement attendre de lui pour atténuer les conséquences de son invalidité (ATF 138 I 205 consid. 3.2 ; TF 9C_785/2014 du 30 septembre 2015). Celui qui n’accomplit plus que difficilement ou avec un investissement temporel beaucoup plus important certains travaux ménagers en raison de son handicap doit, en premier lieu, organiser son travail et demander l’aide de ses proches dans une mesure convenable (ATF 133 V 504 consid. 3.2). Or, en l’occurrence, la recourante exerce les tâches ménagères légères elle-même, ses fils se chargeant des courses et une femme de ménage des tâches plus lourdes (rapport du Dr P.________ du 9 décembre 2019, p. 5). Cette organisation qui implique un partage des tâches entre la recourante, ses fils et une aide-ménagère est conforme à l’obligation de l’intéressée de réduire son dommage. 6. a) La recourante fait enfin grief à l’OAI de ne pas avoir procédé à une analyse globale de la situation, en se demandant si, de manière réaliste, elle était encore en mesure de retrouver un emploi sur un marché équilibré du travail compte tenu de son âge et de ses limitations fonctionnelles. Elle soutient que ces facteurs l’empêcheraient de trouver un emploi, respectivement d’augmenter son taux d’activité.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w:t>
      </w:r>
    </w:p>
    <w:p>
      <w:r>
        <w:t>- 25 -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c) En l’espèce, la date déterminante pour se prononcer sur l’exigibilité de la mise en valeur de la capacité résiduelle de travail est, au plus tard, celle du 7 mai 2019, date à laquelle la Dre M.________ a estimé que l’activité habituelle de coordinatrice en langue arabe était exigible à 100 %. A cette date, la recourante était âgée de 55 ans. Elle n’avait dès lors pas atteint un âge avancé au sens où l’entend généralement la jurisprudence (pour un cas analogue avec un assuré de 57 ans, cf. TF 9C_1001/2012 du 29 mai 2013 consid. 4). Si les restrictions induites par les limitations fonctionnelles, en l’occurrence orthopédiques, peuvent limiter dans une certaine mesure les possibilités de retrouver un emploi, on ne saurait considérer qu’elles rendent cette perspective illusoire dans l’hypothèse d’un marché équilibré du travail. Celui-ci offre un large éventail d'activités légères adaptées aux limitations fonctionnelles de l’intéressée et accessibles sans formation particulière. De surcroît, l’instruction a montré que la recourante a – elle-même – brièvement travaillé dans une activité de coordinatrice en langue arabe, ce qui indique</w:t>
      </w:r>
    </w:p>
    <w:p>
      <w:r>
        <w:t>- 26 - également qu’elle peut se reclasser, ceci même en n’ayant pas eu d’autres expériences professionnelles. Ce moyen doit ainsi être rejeté.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b) En l’occurrence, le dossier est complet. Il permet à la Cour de céans de statuer en connaissance de cause, de sorte qu’il n’y a pas lieu de donner suite à la réquisition de la recourante tendant à la mise en œuvre d’une expertise bidisciplinaire orthopédique et psychiatrique, laquelle ne serait pas de nature à apporter un éclairage différent sur la capacité de travail de la recourante d’un point de vue médical. 8. a) Il résulte de ce qui précède que le recours, mal fondé, doit être rejeté, ce qui entraîne la confirmation de la décision litigieuse.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de procédure civile du 19 décembre 2008 ; RS 272], applicable par renvoi de l’art. 18 al. 5 LPA-VD). c) Par décision de la juge instructrice du 6 juillet 2020, la recourante a été mise au bénéfice de l’assistance judiciaire avec effet au</w:t>
      </w:r>
    </w:p>
    <w:p>
      <w:r>
        <w:t>- 27 -</w:t>
      </w:r>
    </w:p>
    <w:p>
      <w:r>
        <w:rPr>
          <w:b/>
        </w:rPr>
        <w:t>E. 18</w:t>
      </w:r>
    </w:p>
    <w:p>
      <w:r>
        <w:t>mai 2020 et a obtenu à ce titre la commission d’un avocat d’office en la personne de Me Favre. Cette dernière a produit sa liste des opérations le 13 octobre 2020. Ces opérations, auxquelles il convient d’ajouter 4 heures pour les écritures, sont justifiées. L’indemnité de Me Favre est ainsi arrêtée à 1'180 fr. 60 ([1,8 heures + 4 heures × 180 fr.] + 5 % [débours ; cf. art. 3bis al. 1 RAJ] + 7,7 % [TVA]), débours et TVA compris pour la période du 18 mai au 13 octobre 2020. d) La rémunération de Me Favre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