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ZD20.018721 vom 16. Februar 2021</w:t>
      </w:r>
    </w:p>
    <w:p>
      <w:r>
        <w:t>VD Tribunal cantonal, 2021-02-16, FR</w:t>
      </w:r>
    </w:p>
    <w:p>
      <w:r>
        <w:rPr>
          <w:b/>
        </w:rPr>
        <w:t xml:space="preserve">Quelle: </w:t>
      </w:r>
      <w:r>
        <w:t>https://mcp.opencaselaw.ch/entscheid/vd_gerichte_ZD20.018721</w:t>
      </w:r>
    </w:p>
    <w:p>
      <w:r>
        <w:t>FR: VD_GERICHTE ZD20.018721 du 16 février 2021</w:t>
      </w:r>
    </w:p>
    <w:p>
      <w:r>
        <w:t>IT: VD_GERICHTE ZD20.018721 del 16 febbraio 2021</w:t>
      </w:r>
    </w:p>
    <w:p>
      <w:pPr>
        <w:pStyle w:val="Heading2"/>
      </w:pPr>
      <w:r>
        <w:t>Erwägungen</w:t>
      </w:r>
    </w:p>
    <w:p>
      <w:r>
        <w:rPr>
          <w:b/>
        </w:rPr>
        <w:t>E. 4</w:t>
      </w:r>
    </w:p>
    <w:p>
      <w:r>
        <w:t>En l’occurrence, la recourante fait valoir que les documents produits dans le cadre de sa nouvelle demande attestent une péjoration de son état de santé. La demande de prestations de juin 2013 a fait l’objet d’une instruction très complète de la part de l’OAI. Ainsi, une expertise psychiatrique a été réalisée en août 2016 par le Dr S.________ du Centre d'expertise H.________, puis une expertise de médecine interne a été confiée au Dr M.________ en décembre 2014, avant que le Dr X.________ du SMR n’examine la recourante le 25 novembre 2016. Compte tenu des observations de la Dre B.________, rhumatologue traitant, sur le projet de décision du 12 avril 2018, le dossier a encore été complété par une expertise bi-disciplinaire rhumatologique et de médecine interne, confiée aux Drs F.________ et L.________ du Centre d'expertise Q.________. Il résulte de l’ensemble de ces éléments que la recourante présente les diagnostics avec effet sur la capacité de travail de connectivite de type indifférencié, de céphalées chroniques, de déconditionnement physique par inactivité, de cervicalgies sur troubles dégénératifs de C3 à C5, de lombalgies sur discrets troubles statiques et séquelles modérés de maladie de Scheuermann et de polyarthralgies chroniques d’étiologie indéterminée depuis fin 2012, et que sa capacité de travail a été nulle jusqu’au 8 décembre 2014, puis entière dès le 9 décembre 2014, avec une baisse de rendement de 25% dans toute activité adaptée aux limitations fonctionnelles (activité légère, sédentaire ou semi-sédentaire principalement en position assise, permettant l’alternance des positions,</w:t>
      </w:r>
    </w:p>
    <w:p>
      <w:r>
        <w:t>- 15 - sans manipulations de charge de plus de 5 à 7 kg, sans déplacement en terrain irrégulier, sans travail en hauteur ou sur une échelle, sans travail à genoux et/ou en station accroupie, sans position du tronc tenue en porte- à-faux, sans flexions-rotations répétées du tronc, sans gestes demandant de maintenir les mains au-dessus du plan des épaules ni de soulever des charges de plus de 1-2 kg à bout de bras, en milieu tempéré, à heures fixes et répartie sur 5 jours ouvrables). Dans le cadre de sa nouvelle demande, la recourante se prévaut des rapports de la Dre G.________ du 13 juin 2019, du Dr A.W.________ du 2 juillet 2019 et de la Dre R.________ du 9 juillet 2019. Dans son rapport du 13 juin 2019, la Dre G.________ de l’Hôpital P.________ mentionne que la recourante présente une incapacité de travail totale depuis le 9 décembre 2014 en raison d’une connectivite et de polyarthrite inflammatoire. Or les médecins de l’Hôpital P.________, en particulier la Dre B.________, avaient déjà contesté le projet de décision initial du 12 avril 2018 en mettant en avant les mêmes atteintes (cf. rapport du 8 mai 2018), ce qui avait conduit à la mise en œuvre d’une expertise bi-disciplinaire rhumatologique et de médecine interne auprès du Centre d'expertise Q.________, dont les conclusions étaient que la recourante, après avoir connu une période d’incapacité de travail totale depuis fin 2012, avait recouvré une capacité de travail de 75% depuis le 9 décembre 2014 dans une activité adaptée, raison pour laquelle une rente limitée dans le temps, soit du 1er décembre 2013 au 31 mars 2015, lui a été octroyée par décision du 3 mai 2019. Dans le rapport du 13 juin 2019, la Dre G.________ mentionne des facteurs non médicaux mais de nature psycho-sociale et en lien avec l’emploi (absence de formation professionnelle, barrière linguistique) qui pourraient avoir une influence sur les possibilités pour la recourante de retrouver un travail. Or, comme l’a relevé à juste titre le SMR, ces facteurs ne sont pas du ressort de l’assurance-invalidité. On note également que la Dre G.________ évoque une évidente différence entre les plaintes douloureuses diffuses de la patiente influencée par le syndrome douloureux chronique et les manifestations objectivables cliniquement.</w:t>
      </w:r>
    </w:p>
    <w:p>
      <w:r>
        <w:t>- 16 - Pour ce qui est du rapport du Dr A.W.________ du 2 juillet 2019, on relèvera, à l’instar du SMR, que ce médecin retient un ensemble de diagnostics somatiques déjà connu et analysé dans le cadre de l’expertise rhumatologique et de médecine interne réalisée auprès du Centre d'expertise Q.________ en décembre 2018. La symptomatologie décrite est essentiellement rhumatologique inflammatoire et repend les constatations du Service de rhumatologie de l’Hôpital P.________. Quant au rapport de la psychiatre R.________ co-signé par la psychologue B.W.________, il permet de constater que la recourante est suivie pour un état anxio-dépressif depuis novembre 2018, à raison d’une séance par mois. Or, comme l’a souligné le SMR, le diagnostic de dépression brève récurrente avait déjà été posé par le Dr S.________ dans son rapport d’expertise du 8 août 2016, et considéré comme non incapacitant. Enfin, la Dre G.________ décrit, dans son rapport du 10 juillet 2019, les mêmes atteintes à la santé que dans son précédent rapport du 13 juin 2019 et retient une capacité de travail nulle, tant dans l’activité habituelle que dans une activité adaptée. Les limitations fonctionnelles qu’elle mentionne sont cependant quasiment identiques à celles retenues dans la décision du 3 mai 2019, si bien que l’on ne peut en déduire une modification de l’état de santé susceptible d’influencer les droits de la recourante. Force est ainsi de constater que les rapports des médecins consultés ne suffisent pas à établir une péjoration suffisamment plausible de l’état de santé de la recourante depuis la décision du 3 mai 2019. C’est dès lors à bon droit que l’intimé a refusé d’entrer en matière sur la nouvelle demande. Pour le surplus, si elle entendait élever des griefs à l’encontre de la décision initiale de rente limitée dans le temps, singulièrement contester le bien-fondé de l’expertise du Centre d'expertise Q.________ qui</w:t>
      </w:r>
    </w:p>
    <w:p>
      <w:r>
        <w:t>- 17 - a été mise en œuvre, il incombait à la recourante de le faire dans le cadre d’un recours contre la décision du 3 mai 2019, ce qu’elle n’a pas fait. Elle ne peut aujourd’hui soutenir que l’expertise du Centre d'expertise Q.________ ne serait pas suffisante au motif que les Drs F.________ et L.________ n’auraient pas procédé à leur examen en la présence d’un interprète de langue turque, ce d’autant qu’il ressort du dossier que la recourante a suivi des cours de langue en vue de se perfectionner dans la communication, et lit les journaux et livres pour apprendre la langue (cf. rapport d’expertise du 8 août 2016, pp. 3 et 19) ; elle avait du reste par exemple été en mesure de parler en français comme en turc lors de l’expertise psychiatrique réalisée en août 2016, et a pu se faire comprendre sans peine de l’enquêtrice venue à son domicile ; les experts du Centre d'expertise Q.________ ont par ailleurs noté qu’il n’y avait eu aucun problème lors de l’expertise concernant la compréhension des ordres simples, ni lors des questions (cf. rapport d’expertise du 8 août 2016, p. 22). Enfin, il lui était loisible de demander à ce qu’un interprète soit présent, ainsi que cela lui a été rappelé tant par l’OAI (cf. courrier du 13 septembre 2018) que le Centre d'expertise Q.________ (cf. convocation du 25 septembre 2018). L’assurée ne peut dès lors être suivie lorsqu’elle affirme que l’absence d’interprète devrait conduire à écarter purement et simplement l’expertise du Centre d'expertise Q.________, cet argument n’étant, quoi qu’il en soit, pas recevable dans la présente procédure. Conformément à la jurisprudence (cf. consid. 3c supra), les pièces déterminantes sont celles produites à l’appui de la nouvelle demande de prestations, et non celles produites au stade du recours, si bien que le rapport du 27 mai 2020 de la Dre B.________ n’a pas à être pris en compte. Dans ces circonstances, c’est à juste titre que l’intimé a refusé d’entrer en matière sur la nouvelle demande déposée par la recourante en juillet 2019, moins de trois mois après que la décision du 3 mai 2019 a été rendue.</w:t>
      </w:r>
    </w:p>
    <w:p>
      <w:r>
        <w:t>- 18 -</w:t>
      </w:r>
    </w:p>
    <w:p>
      <w:r>
        <w:rPr>
          <w:b/>
        </w:rPr>
        <w:t>E. 5</w:t>
      </w:r>
    </w:p>
    <w:p>
      <w:r>
        <w:t>Dans une argumentation subsidiaire, la recourante expose que son droit d’être entendue a été violé par les experts F.________ et L.________ du Centre d'expertise Q.________, qui ne l’ont pas convoquée en présence d’un interprète. Cela devrait selon elle conduire à annuler la décision du 19 mars 2020, et à reprendre l’instruction de son dossier. Ce faisant, elle semble ainsi invoquer que les conditions d’une reconsidération au sens de l’art. 53 al. 2 LPGA seraient réalisées. Selon l’art. 53 al. 2 LPGA, qui formalise un principe général du droit des assurances sociales, l’administration peut reconsidérer une décision ou une décision sur opposition formellement passée en force et sur laquelle une autorité judiciaire ne s’est pas prononcée quant au fond, à condition qu’elle soit sans nul doute erronée et que sa rectification revête une importance notable (ATF 133 V 50 consid. 4.1). Toutefois, l'administration n'est pas tenue de reconsidérer les décisions qui remplissent les conditions fixées; elle en a simplement la faculté et ni l'assuré ni le juge ne peut l'y contraindre ni, à plus forte raison, lui prescrire, à défaut d’une règle positive, les modalités d’un tel examen (ATF 133 V 50 consid. 4.1 et réf. cit. ; ATF 119 V 180 consid. 3b ; TF 9C_836/2010 du 20 mai 2011 consid. 3.2, in SVR 2011 EL n° 8 p. 25 ; TF 9C_517/2011 du 12 septembre 2011 ; cf. également Ueli Kieser, ATSG- Kommentar, 2e éd., n° 44 ad art. 53 LPGA). Il suit de là que, même à supposer que les conditions d’une reconsidération soient remplies – ce qui resterait à démontrer –, la Cour de céans ne peut pas contraindre l’office intimé à reconsidérer sa décision, à défaut d’une règle positive prescrivant les modalités d’un tel réexamen.</w:t>
      </w:r>
    </w:p>
    <w:p>
      <w:r>
        <w:rPr>
          <w:b/>
        </w:rPr>
        <w:t>E. 6</w:t>
      </w:r>
    </w:p>
    <w:p>
      <w:r>
        <w:t>a) Compte tenu de ce qui précède, le recours doit être rejeté et la décision entreprise confirmée. b) La procédure de recours en matière de contestation portant sur l’octroi ou le refus de prestations de l’assurance-invalidité devant le tribunal cantonal des assurances est soumise à des frais de justice (art. 69</w:t>
      </w:r>
    </w:p>
    <w:p>
      <w:r>
        <w:t>- 19 - al. 1bis première phrase LAI). En l’espèce, les frais de justice doivent être fixés à 400 fr. et mis à la charge de la recourante, qui succombe. Toutefois, dès lors qu’elle a obtenu, au titre de l’assistance judiciaire, l’exonération d’avances et des frais de justice, ces frais sont laissés provisoirement à la charge de l’Etat (art. 122 al. 1 let. b CPC [code fédéral de procédure civile du 19 décembre 2008 ; RS 272], applicable par renvoi de l’art. 18 al. 5 LPA-VD). c) Il n’y a par ailleurs pas lieu d’allouer de dépens, la recourante n’obtenant pas gain de cause (art. 61 let. g LPGA). d) Dans le cadre de l’octroi en sa faveur de l’assistance judiciaire, la recourante a obtenu la commission d’un avocat d’office en la personne de Me Radivoje Stamenkovic. Ce dernier a produit une liste d’opérations le 9 novembre 2020, faisant état de 8 heures et 10 minutes de travail consacrées au dossier de la recourante. Ces opérations étant justifiées, l’indemnité de Me Stamenkovic est arrêtée à 1’662 fr. 35 (1'470 fr. [8h10 x 180 fr./h.] + 73 fr. 50 [1'470 fr. x 5 %] + 118 fr. 85 [1'543 fr. 50 x 7,7 %]), débours par 5 % du défraiement hors taxe (art. 3bis al. 1 RAJ [règlement cantonal du 7 décembre 2010 sur l’assistance judiciaire en matière civile ; BLV 211.02.3]) et TVA par 7,7 % compris. La rémunération de l’avocat d’office est provisoirement supportée par le canton (art. 122 al. 1 let. a CPC, applicable par renvoi de l’art. 18 al. 5 LPA-VD). La recourante est rendue attentive au fait qu’elle est tenue de rembourser le montant des frais de justice et de l’indemnité d’office dès qu’elle sera en mesure de le faire (art. 123 al. 1 CPC,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