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ZD20.015382 vom 8. März 2021</w:t>
      </w:r>
    </w:p>
    <w:p>
      <w:r>
        <w:t>VD Tribunal cantonal, 2021-03-08, FR</w:t>
      </w:r>
    </w:p>
    <w:p>
      <w:r>
        <w:rPr>
          <w:b/>
        </w:rPr>
        <w:t xml:space="preserve">Quelle: </w:t>
      </w:r>
      <w:r>
        <w:t>https://mcp.opencaselaw.ch/entscheid/vd_gerichte_ZD20.015382</w:t>
      </w:r>
    </w:p>
    <w:p>
      <w:r>
        <w:t>FR: VD_GERICHTE ZD20.015382 du 8 mars 2021</w:t>
      </w:r>
    </w:p>
    <w:p>
      <w:r>
        <w:t>IT: VD_GERICHTE ZD20.015382 del 8 marzo 2021</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et 125 V 413 consid. 2c ; TF 9C_678/2011 du 4 janvier 2012 consid. 3.1). b) En l’occurrence, est litigieuse la question de savoir si le recourant présente, en raison d'une atteinte à la santé, une diminution de sa capacité de travail et de sa capacité de gain susceptible de lui ouvrir le droit à des prestations de l’assurance-invalidité.</w:t>
      </w:r>
    </w:p>
    <w:p>
      <w:r>
        <w:rPr>
          <w:b/>
        </w:rPr>
        <w:t>E. 2.3</w:t>
      </w:r>
    </w:p>
    <w:p>
      <w:r>
        <w:t>; 141 V 557 consid. 3.1 et références citées). En réalité, s’agissant en l’occurrence d’un grief relatif à l’allégation d’un défaut d’instruction, dans la mesure où il porte au final sur le résultat de l’appréciation des preuves, le moyen tiré d’une violation du droit d’être entendu se confond ici avec celui d’une constatation inexacte des faits pertinents que le recourant soulève également. Cet argument sera donc examiné avec le fond du litige.</w:t>
      </w:r>
    </w:p>
    <w:p>
      <w:r>
        <w:t>- 15 -</w:t>
      </w:r>
    </w:p>
    <w:p>
      <w:r>
        <w:rPr>
          <w:b/>
        </w:rPr>
        <w:t>E. 3</w:t>
      </w:r>
    </w:p>
    <w:p>
      <w:r>
        <w:t>a) L’assuré a droit à une rente si sa capacité de gain ou sa capacité d’accomplir ses travaux habituels ne peut pas être rétablie, maintenue ou améliorée par des mesures de réadaptation</w:t>
      </w:r>
    </w:p>
    <w:p>
      <w:r>
        <w:t>- 13 -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- 14 -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Bien que les rapports d’examen réalisés par un SMR en vertu de l’art. 49 al. 2 RAI (règlement du 17 janvier 1961 sur l’assurance- invalidité ; RS 831.201)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w:t>
      </w:r>
    </w:p>
    <w:p>
      <w:r>
        <w:rPr>
          <w:b/>
        </w:rPr>
        <w:t>E. 4</w:t>
      </w:r>
    </w:p>
    <w:p>
      <w:r>
        <w:t>Dans un premier moyen, le recourant se plaint d’une violation de son droit d’être entendu, au motif que son dossier n’aurait pas été instruit à satisfaction.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w:t>
      </w:r>
    </w:p>
    <w:p>
      <w:r>
        <w:rPr>
          <w:b/>
        </w:rPr>
        <w:t>E. 5</w:t>
      </w:r>
    </w:p>
    <w:p>
      <w:r>
        <w:t>Il n’est pas contesté que le recourant n’est plus en mesure d’exercer son activité habituelle d’aide-carreleur. Se pose dès lors la question de savoir s’il présente une capacité résiduelle dans une activité adaptée, et, dans l’affirmative, de quel degré. A cet égard, l’OAI s’est fondé sur le rapport d’examen rhumatologique du Dr E.________ du SMR du 30 avril 2018, pour retenir une capacité de travail de 60 % dans une activité adaptée dès mars 2017. Dans son rapport d’examen, le Dr E.________ a résumé le dossier médical du recourant et a recueilli son anamnèse complète, en notant en particulier ses plaintes, ses habitudes de vie et son contexte psycho-social. Il a procédé à un examen clinique détaillé du recourant, sur le plan général, neurologique et ostéo-articulaire et a fait réaliser une IRM lombaire pour compléter l’imagerie à disposition. Le Dr E.________ a pris ses conclusions sur la base de l’ensemble de ces éléments, de manière motivée et convaincante. Son rapport d’examen peut dès lors se voir reconnaître une pleine valeur probante. Au niveau dorso-lombaire, il observe un trouble statique sous la forme d’une discrète scoliose sinistro-convexe compensée. La flexion antérieure du tronc est douloureuse et limitée, vraisemblablement par un syndrome lombo-vertébral puisqu’à la flexion, la musculature paralombaire s’endurcit. Ayant un doute sur la concordance entre les plaintes de l’assuré et ses constatations objectives, le Dr E.________ a fait réaliser une IRM de contrôle, dans le but également de voir l’évolution de la fibrose sur le site opératoire. Cette IRM a montré une discopathie L4-L5 associée à de légers remaniements inflammatoires des plateaux vertébraux, en régression par rapport à l’IRM de 2017. La sténose légèrement sténosante foraminale L4-L5 droite pouvait être le résultat d’une récidive de hernie ou d’un résidu de hernie discale postéro-médiane droite avec fibrose épidurale et périradiculaire L5 droite, associée à une légère arthrose interfacettaire. L’association de ces facteurs produisait un conflit avec la racine L5 droite. Il existait par ailleurs une petite protrusion discale postéro-médiane légèrement sténosante en L5-S1 sans signe de conflit radiculaire. Le Dr E.________ en conclut qu’il n’y a pas de</w:t>
      </w:r>
    </w:p>
    <w:p>
      <w:r>
        <w:t>- 16 - changement significatif par rapport à l’IRM de 2017, mais que le remaniement post-opératoire peut être à l’origine d’une irritation chronique de la racine L5 droite et donc source de douleurs chroniques, précisant que les adhérences fibrotiques entraînent souvent une irritation méningée à l’origine de douleurs chroniques. Il estime dès lors que les plaintes de l’assuré et le syndrome lombovertébral concordent avec les éléments objectifs et que le recourant ne sous-estime pas ses capacités. Selon le Dr E.________, il n’y a pas de traitement spécifique à proposer, si ce n’est éventuellement que le traitement contre la douleur soit revu par un centre d’antalgie. En raison de ce problème lombaire, le recourant doit éviter les positions accroupies, à genoux ou en porte-à-faux, le port de charges supérieures à 10 kg, les mouvements répétitifs de flexion/extension/rotation du dos, l’utilisation de machines vibrantes et doit pouvoir alterner les positions. Au final, le Dr E.________ considère que dans une activité respectant ces limitations fonctionnelles, la capacité de travail ne dépasse pas 60 % compte tenu des éléments d’imagerie récents à sa disposition (rapport pp. 12-14). Son examen a par ailleurs permis de déceler une maladie de Dupuytren du 4e rayon de la main droite qui reste asymptomatique, obligeant seulement le recourant à devoir parfois passivement étendre le 4e doigt. Le médecin ne constate en effet aucune limitation dans les amplitudes des articulations phalangiennes, ni douleurs à la palpation et en conclut que cette problématique n’est actuellement pas incapacitante (rapport p. 13). Pour le surplus, le recourant ne peut être suivi lorsqu’il affirme que le Dr E.________ n’a pas tenu compte de l’hypertension, du diabète et des problèmes cardiaques, puisqu’il a au contraire retenu, comme diagnostics sans effet sur la capacité de travail, un diabète non insulino- dépendant traité (E12.9), une hypertension artérielle (HTA) traitée et un état après deux infarctus du myocarde en septembre 2007 et février 2008 [recte : octobre 2007 et janvier 2008], avec implantation de quatre stents, asymptomatique. Le Dr E.________ a en particulier relevé que l’examen général ne montre pas de problème, l’assuré étant normocarde et</w:t>
      </w:r>
    </w:p>
    <w:p>
      <w:r>
        <w:t>- 17 - normotendu sous traitement antihypertenseur (rapport p. 12). L’assuré a précisé suivre un régime strict pour son diabète (rapport p. 13). Sur la base des pièces au dossier et de ses observations, le Dr E.________ a ainsi estimé que les problèmes de santé anciens de l’assuré, survenus avant son arrivée en Suisse en 2015 (infarctus du myocarde, diabète, HTA), n’empêchaient pas la poursuite de mesures de réadaptation (rapport p. 14). Il a ajouté que tant le diabète que l’hypertension artérielle n’étaient pas incapacitants, moyennant que l’intéressé surveille étroitement sa glycémie et prenne les mesures préventives vis-à-vis du risque d’hyper- et d’hypoglycémie (ibidem). De même, s’il observe une disparition du réflexe achilléen des deux côtés, qui pourrait être le résultat d’une polyneuropathie diabétique, il précise que cette problématique n’est pas incapacitante (rapport p. 12). En lien avec l’atteinte au niveau cardiaque, il a noté qu’une activité contraignante était contre-indiquée, dans la mesure où le recourant avait recours à un traitement vasodilatateur d’urgence plus ou moins régulièrement (rapport pp. 13-14). Si le Dr E.________ a effectivement indiqué ne pas avoir d’élément à disposition en ce qui concerne le problème cardiaque, le diabète, la notion d’une atteinte au niveau de la thyroïde et de la sphère urinaire (rapport p. 14), cela ne signifie pas que son appréciation de la situation du recourant serait lacunaire. Ce spécialiste a en réalité pris position sur l’aspect cardiovasculaire, ainsi que sur le diabète, comme observé ci-dessus. S’agissant de la thyroïde, aucun rapport ne fait état d’une atteinte incapacitante à ce niveau, pas plus qu’au niveau urinaire. Lors de l’examen clinique, le recourant a déclaré que son médecin de famille en France aurait décelé une anomalie de la glande thyroïde à l’occasion d’une perte pondérale en 2017, ainsi qu’une augmentation de l’antigène spécifique pour la prostate. Ces éléments sont cependant méconnus de son médecin traitant actuel en Suisse, le Dr K.________, qui n’en fait aucune mention. On peut en outre relever que parmi la liste de médicaments prescrits au recourant par son médecin généraliste français, aucun n’est en lien avec un dérèglement thyroïdien. Le seul fait que le Dr E.________ a estimé qu’il y avait lieu de prendre des renseignements auprès des spécialistes suivant l’assuré aux plans cardiovasculaire et</w:t>
      </w:r>
    </w:p>
    <w:p>
      <w:r>
        <w:t>- 18 - endrocrinien, s’agissant d’éventuelles limitations fonctionnelles à ce niveau (rapport p. 14), ne permet dès lors pas de considérer que l’OAI n’a pas valablement instruit son cas. En réalité, le Dr E.________ s’est bien déterminé à ce sujet également, puisqu’il a relevé que toute activité stressante, anxiogène était proscrite pour des raisons cardiaques (rapport p. 14). Finalement, le Dr E.________ a observé une tristesse et une baisse de l’humeur chez le recourant, qui se reconnaît déprimé en lien avec sa santé et sa séparation intervenue en été 2016, et qui évoque le besoin d’un suivi psychiatrique. Le Dr E.________ précise toutefois que même si l’assuré est triste, le vécu psycho-social n’est en soi pas incapacitant (rapport pp. 12-13). L’état psychique du recourant joue en revanche probablement un rôle dans les douleurs chroniques dont il souffre (rapport p. 14). Pour le surplus, le recourant ne fait état d’aucun élément qui aurait été ignoré par l’OAI dans le cadre de l’instruction de son dossier. En particulier, le rapport du Prof. B.________ du 3 mars 2016, produit en procédure de recours, a été pris en compte par le Dr E.________ (rapport d’examen SMR p. 2). Quant au rapport du 21 juillet 2020 du Dr K.________, celui-ci fait état d’une péjoration, dans le sens où le recourant présente une parésie au niveau de la jambe gauche, sans toutefois donner plus de détails, ni poser de diagnostic à ce sujet. On ignore par ailleurs si ce trouble était déjà présent au moment où l’OAI a rendu sa décision. Quoi qu’il en soit, l’existence d’une diminution de force dans la jambe gauche ne s’oppose pas à l’exercice d’une activité légère, de surcroît à 60 %, telle que retenue par le Dr E.________. Les autres atteintes mentionnées par le Dr K.________, à savoir la hernie discale L4-L5 et L5-S1, l’état psychologique décompensé et le diabète de type II ont été prises en compte par le Dr E.________. Quant aux douleurs liées à une péricardite aiguë, le Dr K.________ n’étaye pas ces troubles, ni n’atteste d’incapacité de travail ou de limitations fonctionnelles en lien avec ces problèmes, comme le retient le SMR dans son avis du 17 août 2020.</w:t>
      </w:r>
    </w:p>
    <w:p>
      <w:r>
        <w:t>- 19 - S’agissant des documents médicaux relatifs au suivi du recourant en France, il faut constater que ceux-ci datent d’il y a plusieurs années et qu’ils n’apportent pas de motif allant à l’encontre des conclusions du Dr E.________. Il résulte de ce qui précède qu’il ne peut être fait grief à l’OAI d’avoir retenu, sur la base de l’examen SMR du 18 avril 2018, une capacité de travail de 60 % dans une activité adaptée.</w:t>
      </w:r>
    </w:p>
    <w:p>
      <w:r>
        <w:rPr>
          <w:b/>
        </w:rPr>
        <w:t>E. 6</w:t>
      </w:r>
    </w:p>
    <w:p>
      <w:r>
        <w:t>Dans un autre moyen, le recourant critique la comparaison des revenus effectuée par l’OAI et soutient que c’est un abattement de 10 % qui aurait dû être opéré sur le revenu d’invalide, ce qui conduirait à l’octroi d’un quart de rente.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w:t>
      </w:r>
    </w:p>
    <w:p>
      <w:r>
        <w:t>- 20 -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le recourant ne conteste pas le revenu sans invalidité, qui peut en effet être confirmé. L’OAI s’est, d’une part, basé sur le salaire à l’heure versé au recourant par son ancien employeur et, d’autre part, sur ses fiches d’indemnités journalières APG, a constaté que les revenus ainsi calculés divergeaient de 619 fr. et a pris en compte le revenu le plus favorable au recourant, soit 62'836 fr. (cf. REA calcul du salaire exigible du 26 juin 2018). Le recourant ne conteste pas non plus le principe d’un calcul du revenu d’invalide sur la base de l’ESS, vu l’absence de revenu effectivement réalisé. Son argumentation tend à remettre en cause l’absence d’abattement, respectivement l’abattement de 5 % que l’OAI admet d’opérer sur le revenu dans sa réponse au recours du 24 juin 2020. Il estime qu’il y a lieu de tenir compte de son rendement diminué, même dans une activité adaptée, des difficultés d’adaptation à un autre emploi, de son âge, de ses problèmes physiques, de ses limitations fonctionnelles,</w:t>
      </w:r>
    </w:p>
    <w:p>
      <w:r>
        <w:t>- 21 - de son taux d’occupation réduit, de sa nationalité étrangère et du fait qu’il n’a passé que peu de temps en Suisse avant son accident. Il ne peut toutefois être suivi dans ses explications. Son curriculum vitae figurant au dossier démontre qu’il a non seulement été chauffeur, pour plusieurs employeurs, mais également actif dans le domaine du commerce alimentaire, et finalement dans celui du carrelage. Selon l’anamnèse professionnelle communiquée au Dr E.________ lors de l’examen SMR du 18 avril 2018, le recourant avait également œuvré sur les chantiers (rapport p. 3). Son parcours professionnel démontre qu’il a su s’adapter à différents emplois, de sorte qu’on ne voit pas pourquoi il n’en serait pas de même actuellement. Il est par ailleurs renvoyé à l’exercice d’une activité légère ne nécessitant pas de connaissances ni de formation particulières (niveau de compétence 1 de l’ESS ; TF 8C_103/2018 du 25 juillet 2018 consid. 5.2). Son âge, à savoir 50 ans au moment de l’examen clinique SMR et 51 ans au moment où la décision a été rendue (ATF 146 V 16 consid. 7.1), n’est pas un facteur limitant en soi et l’est d’autant moins au vu des circonstances personnelles du recourant, qui dispose d’une expérience professionnelle dans divers domaines et parle par ailleurs plusieurs langues, comme cela ressort de son curriculum vitae figurant au dossier (ATF 146 V 16 consid. 7.2.1 ; TF 8C_661/2018 du 28 octobre 2019 consid. 3.3.4.2). Le recourant est de nationalité française et par conséquent ressortissant communautaire, ce qui ne justifie pas d’abattement, étant au demeurant rappelé que le recourant, d’origine kosovare, parle très bien le français (rapport d’examen SMR p. 7). Le fait qu’il ne se trouvait en Suisse que depuis peu de temps avant la récidive de sa hernie ne justifie pas non plus un abattement, étant rappelé qu’il avait travaillé en Suisse entre 1989 et 1991 déjà (rapport d’examen SMR p. 3). Quant à ses atteintes physiques, elles ont conduit à retenir une capacité de travail de 60 % dans une activité adaptée à ses limitations</w:t>
      </w:r>
    </w:p>
    <w:p>
      <w:r>
        <w:t>- 22 - fonctionnelles et ne justifient dès lors pas un nouvel abattement (TF 9C_537/2019 du 25 février 2020 consid. 4.2). Le grief du recourant est donc mal fondé. Comme l’OAI le reconnaît dans sa réponse au recours, seul un abattement de 5 % peut être retenu sur le revenu d’invalide afin de tenir compte de l’influence du taux de travail partiel du recourant sur ses perspectives salariales. Il convient toutefois de légèrement modifier le calcul du degré d’invalidité effectué par l’OAI en date du 26 juin 2018 (cf. REA – calcul du salaire exigible) et dans sa réponse, en ce sens que le salaire auquel pouvaient prétendre les hommes en 2016 pour des tâches manuelles simples dans les domaines des services et de la production était de 5'340 fr. selon l’ESS 2016, et non de 5'357 fr., si bien que le revenu d’invalide du recourant doit être fixé à 38'344 fr. 48. Cette modification est toutefois sans influence sur le degré d’invalidité du recourant, qui reste de 39 %. C’est par conséquent à juste titre que l’OAI a refusé de lui octroyer une rente d’invalidité.</w:t>
      </w:r>
    </w:p>
    <w:p>
      <w:r>
        <w:rPr>
          <w:b/>
        </w:rPr>
        <w:t>E. 7</w:t>
      </w:r>
    </w:p>
    <w:p>
      <w:r>
        <w:t>Au vu de ce qui précède, il faut constater que les pièces médicales au dossier permettent à la Cour de céans de statuer en pleine connaissance de cause. Il n’y a dès lors pas lieu de donner suite aux mesures d'instruction requises par le recourant, à savoir d’ordonner une nouvelle expertise rhumatologique et une expertise pluridisciplinaire. En effet, de telles mesures ne seraient pas de nature à modifier les considérations qui précèdent, les faits pertinents ayant pu être constatés à satisfaction de droit. Les requêtes du recourant en ce sens doivent ainsi être rejetées par appréciation anticipée des preuves (ATF 140 I 285 consid. 6.3.1 ; 130 II 425 consid. 2.1).</w:t>
      </w:r>
    </w:p>
    <w:p>
      <w:r>
        <w:rPr>
          <w:b/>
        </w:rPr>
        <w:t>E. 8</w:t>
      </w:r>
    </w:p>
    <w:p>
      <w:r>
        <w:t>a) Le recours doit par conséquent être rejeté et la décision litigieuse confirmée. b) La procédure de recours en matière de contestation portant sur l’octroi ou le refus de prestations de l’assurance-invalidité devant le tribunal cantonal des assurances est soumise à des frais de justice (art. 69</w:t>
      </w:r>
    </w:p>
    <w:p>
      <w:r>
        <w:t>- 23 -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le recourant n’obtenant pas gain de cause (art. 61 let. g LPGA). d) Par décision de la juge instructrice du 27 avril 2020, le recourant a été mis au bénéfice de l’assistance judiciaire avec effet au 22 avril 2020 et a obtenu à ce titre la commission d’un avocat d’office en la personne de Me Robert Fox. Ce dernier a produit sa liste des opérations le 5 octobre 2020. Ces opérations étant justifiées, l’indemnité de Me Fox est arrêtée à 1'384 fr. 20, débours et TVA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