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ZD20.011684 vom 15. September 2021</w:t>
      </w:r>
    </w:p>
    <w:p>
      <w:r>
        <w:t>VD Tribunal cantonal, 2021-09-15, FR</w:t>
      </w:r>
    </w:p>
    <w:p>
      <w:r>
        <w:rPr>
          <w:b/>
        </w:rPr>
        <w:t xml:space="preserve">Quelle: </w:t>
      </w:r>
      <w:r>
        <w:t>https://mcp.opencaselaw.ch/entscheid/vd_gerichte_ZD20.011684</w:t>
      </w:r>
    </w:p>
    <w:p>
      <w:r>
        <w:t>FR: VD_GERICHTE ZD20.011684 du 15 septembre 2021</w:t>
      </w:r>
    </w:p>
    <w:p>
      <w:r>
        <w:t>IT: VD_GERICHTE ZD20.011684 del 15 settembre 2021</w:t>
      </w:r>
    </w:p>
    <w:p>
      <w:pPr>
        <w:pStyle w:val="Heading2"/>
      </w:pPr>
      <w:r>
        <w:t>Erwägungen</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- 18 -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- 19 - comme expertise, mais bel et bien son contenu (ATF 134 V 231 consid. 5.1 ; 125 V 351 consid. 3a ; TF 8C_877/2018 du 24 juillet 2019 consid. 5). e)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w:t>
      </w:r>
    </w:p>
    <w:p>
      <w:r>
        <w:rPr>
          <w:b/>
        </w:rPr>
        <w:t>E. 4</w:t>
      </w:r>
    </w:p>
    <w:p>
      <w:r>
        <w:t>a) En l’espèce, l’intimé a retenu que le recourant avait présenté une totale incapacité de travail du 15 janvier 2016 au 19 septembre 2017 pour des motifs psychiques et qu’il avait récupéré une pleine capacité de travail dans une activité adaptée depuis le 20</w:t>
      </w:r>
    </w:p>
    <w:p>
      <w:r>
        <w:t>- 20 - septembre 2017. Il a par conséquent alloué une rente entière du 1er janvier 2017 au 31 décembre 2017, en tenant compte du délai de trois mois prévu à l’art. 88a RAI. Le recourant demande la poursuite du versement de la rente pour la période postérieure au 31 décembre 2017 (cf. acte de recours, point 2 de la partie IV En droit) et ne conteste pas la décision de l’intimé en ce qui concerne le refus de prester pour la période antérieure au 1er janvier 2017. Il n’y a donc pas lieu de revenir sur ce point et il convient d’examiner si effectivement l’état de santé du recourant s’est amélioré au point de permettre, dès le 20 septembre 2017, la reprise d’une activité adaptée et de réaliser un revenu excluant le droit à la rente. b) Sur le plan somatique, l’intimé a fait réaliser une expertise rhumatologique par la Dre I.________ en décembre 2015. Cette experte a posé les diagnostics avec effet sur la capacité de travail de status après arthrodèse consolidée sous-talienne et talo-naviculaire et d’épiphysite de contrainte ou d’insertion du ligament latéral externe. Les autres diagnostics posés concernaient également le membre inférieur gauche (soit une arthrose naviculo-cunéiforme, un status après probable algoneurodystrophie avec douleurs neuropathiques et un status après ablation d’un kyste mucoïde), mais n’avaient pas d’incidence sur la capacité de travail du recourant. L’experte était frappée par le comportement d’amplification du recourant, alors que l’examen physique ne montrait qu’une restriction de mobilité sous astragalienne et du Chopart, comme on pouvait s’y attendre après une arthrodèse, et qu’un léger boitement était également attendu dans ces conditions. Quant à l’IRM du 30 avril 2014 du pied et de la cheville gauches, dont les résultats étaient superposables à ceux d’une scintigraphie osseuse réalisée le 23 décembre 2015, elle ne permettait pas d’expliquer les douleurs mécaniques évoquées par le recourant (p. 27 et 28 du rapport d’expertise). Comme limitations fonctionnelles, la Dre I.________ a retenu que la station debout prolongée ne pouvait pas durer au-delà de 2-3 heures, que la marche sur terrain instable et le travail en hauteur devaient être évités, que le port de charges ne devait pas dépasser 8 kg, que la</w:t>
      </w:r>
    </w:p>
    <w:p>
      <w:r>
        <w:t>- 21 - position à genoux et accroupie ne pouvaient pas se faire de manière maintenue et que la montée et la descente des escaliers étaient possibles mais pas de manière incessante. Au jour de l’expertise, le recourant n’avait pas récupéré une capacité de travail dans l’activité habituelle. En revanche, dans une activité adaptée aux limitations fonctionnelles précitées, l’experte rhumatologue a conclu à une pleine capacité de travail. L’OAI a par la suite mandaté le V.________ pour une expertise pluridisciplinaire qui a été réalisée en août et septembre 2017. Sur le plan somatique, les experts du V._____ ont eux aussi retenu que l’atteinte au pied gauche (soit un status après arthrodèse sous-astragalienne gauche) entraînait une incapacité de travail dans l’activité habituelle, qui s’exerçait essentiellement debout, mais que le recourant présentait une pleine capacité de travail dans une activité adaptée respectant ses limitations fonctionnelles, soit dans une activité en position assise, sans nécessité de rester debout au-delà de quelques minutes, sans nécessité d’effectuer de grands déplacements, permettant d’utiliser les cannes pour les déplacements et sans port de charges. Concernant le membre inférieur gauche, l’examen rhumatologique montrait quelques signes dystrophiques au niveau cutané avec une peau rouge et lisse sur non-utilisation et non mobilisation de certaines articulations du pied. Le dernier examen radiologique standard effectué lors de l’hospitalisation à la BC._____ en mars 2017 ne montrait pas de nette arthrose tibio-astragalienne gauche, ni au niveau de l’articulation de Lisfranc, comme cela se produisait parfois. Selon l’expert rhumatologue, on pouvait donc s’étonner de l’absence de mobilité à ces deux articulations à l’examen clinique (p. 38 du rapport d’expertise). Quant aux autres diagnostics posés sur le plan somatique, à savoir des lombalgies communes chroniques, une hypertension artérielle, un diabète, des gastralgies et une hypercholestérolémie, elles n’avaient pas d’effet sur la capacité de travail. Concernant les lombalgies communes, l’expert rhumatologue a indiqué qu’elles s’expliquaient par la marche en décharge chronique du membre inférieur gauche et étaient</w:t>
      </w:r>
    </w:p>
    <w:p>
      <w:r>
        <w:t>- 22 - sans substrat anatomique selon les derniers rapports médicaux (p. 37 du rapport d’expertise). S’agissant de l’obésité et de l’hypertension artérielle, qui n’étaient pas en soi limitatives de la capacité de travail mais qui ne permettaient pas au recourant d’exercer des travaux physiques éprouvants, ils étaient compatibles avec un travail essentiellement assis ne nécessitant pas une grande activité physique (p. 37 du rapport d’expertise). Les médecins de la BC.________ ont eux aussi fait état des troubles précités, en particulier des troubles du pied gauche et du dos, étant précisé que, du point de vue de l’assurance-invalidité, ce n’est pas fondamentalement le diagnostic, mais l’effet d’une atteinte à la santé sur la capacité de travail qui est pertinent (TF 9C_273/2018 du 28 juin 2018 consid. 4.2). Comme limitations fonctionnelles, ils ont mentionné les positions contraignantes pour la cheville (soit un accroupissement complet), les montée et descente de manière répétitive d’escaliers et d’échelles, la marche prolongée sur tout type de terrains, surtout en terrain irrégulier, le port de charges lourdes et les mouvements répétitifs de flexion-extension du tronc. Pour les médecins de la BC.________, le recourant présentait une pleine capacité de travail dans une activité adaptée respectant ses limitations fonctionnelles, puisque le pronostic de réinsertion dans une activité adaptée était défavorable uniquement en raison de facteurs non médicaux. Il ressort de ce qui précède que les constatations des experts du V.________, de la Dre I.________ et des médecins de BC.________ sont, pour l’essentiel, largement concordantes et reconnaissent, sur le plan somatique, une pleine capacité de travail du recourant dans une activité essentiellement sédentaire, sans longs déplacements, sans port de lourdes charges, ni marches en terrain irrégulier. Le recourant n’émet aucun grief à l’encontre des observations et conclusions des spécialistes précités et se base uniquement sur l’avis de ses médecins traitants pour contester la décision de l’intimé. Or, les rapports médicaux des Drs F.________ N.________ ne sont pas de nature à</w:t>
      </w:r>
    </w:p>
    <w:p>
      <w:r>
        <w:t>- 23 - mettre en doute les conclusions des experts mandatés par l’intimé et des médecins de BC.________. Dans ses rapports des 5 novembre 2018 et 9 juillet 2020, la Dre Q.________ ne s’est pas déterminée sur la capacité de travail et a essentiellement mis en avant les douleurs chroniques du recourant, sans apporter d’éléments objectivables permettant de s’écarter des conclusions des experts et des médecins de BC.________. Le Dr N.________, qui au demeurant retient des limitations fonctionnelles concordant avec celles des experts mandatés par l’intimé et des médecins de BC.________, ne conteste pas que les troubles à la santé du recourant sont compatibles avec une reprise du travail dans une activité adaptée. Il estime qu’une reprise devrait intervenir progressivement. La limitation du taux d’activité préconisée par le Dr N._______, dans un premier temps tout au moins, ne s’explique toutefois pas au regard des constatations objectives des experts. Ces constatations revêtent un poids d’autant plus important qu’ils ont observé des signes d’amplification et d’auto-limitation et que la Dre I.________ a constaté des incohérences entre les plaintes algiques du courant et sa faible consommation d’antalgiques. Sur le plan somatique, le recourant présente donc une pleine capacité de travail dans une activité adaptée comme l’a retenu à juste titre l’intimé. c) Sur le plan psychiatrique, il ressort du rapport d’expertise du V.________ et du rapport complémentaire du Dr AB.________ du 21 juin 2018 que le recourant se plaignait d’une symptomatologie dépressive permanente depuis avril 2013, d’intensité très forte qui n’était pas seulement liée aux douleurs selon lui. L’examen psychiatrique montrait un homme inquiet par rapport à son avenir financier et légèrement déprimé. Le syndrome douloureux chronique n’était qu’en partie expliqué par des problèmes physiques, puisqu’il existait un contexte psycho-social (le décès de la mère de l’expertisé en 2012 qui l’avait beaucoup affecté, l’impossibilité de continuer à exercer son métier de base qui le valorisait, les difficultés financières). Ce syndrome assurait en outre au recourant une aide et une sollicitude accrue de son épouse qui assumait tout à la maison. L’expert psychiatre a retenu le diagnostic de syndrome</w:t>
      </w:r>
    </w:p>
    <w:p>
      <w:r>
        <w:t>- 24 - douloureux somatoforme persistant. Les plaintes dépressives du recourant contrastaient avec un examen psychiatrique nettement plus rassurant, qui faisait retenir à l’expert que l’épisode dépressif était en rémission et d’intensité légère au jour de l’expertise. Les observations de l’expert montraient un expertisé légèrement déprimé : triste, inquiet, sans ralentissement psychomoteur, sans troubles cognitifs, ni signes de négligence personnelle. La symptomatologie dépressive résiduelle, ainsi que les inquiétudes dont faisait part le recourant étaient à mettre sur le compte du syndrome somatoforme douloureux. Concernant les diagnostics d’anxiété généralisée et de trouble de la personnalité non spécifié évoqués par le psychiatre traitant du recourant, l’expert du V.________ n’avait trouvé aucun argument pour retenir ces diagnostics. Les inquiétudes étaient d’apparition récente et liées aux conséquences de l’incapacité de travail dans l’ancien métier. L’expert n’avait relevé aucun indice tendant vers l’existence de traits de personnalité pathologique, ni dans l’histoire personnelle, ni à l’examen psychiatrique. Sur le plan neuropsychologique, aucun diagnostic n’a été posé et des signes de défaut d’effort ou de surcharge invalidaient partiellement l’examen (p. 31 et 34 du rapport d’expertise). Sur le plan psychique, l’expert du V.________ a constaté qu’il n’y avait pas de limitations fonctionnelles et que la capacité de travail était entière dans toute activité sans diminution de rendement au jour de l’expertise. Il sied de relever que ses conclusions ont été prises sur la base d’une anamnèse complète, de l’ensemble des pièces du dossier, d’un examen clinique détaillé, en tenant compte des plaintes du recourant et en prenant en compte les critères posés par la jurisprudence (consid. 3e) et peuvent se voir reconnaître une pleine valeur probante. Le recourant n’émet du reste aucun grief à ce propos. L’amélioration de l’état de santé psychique du recourant est ainsi incontestable dès le mois de septembre 2017 au vu des constatations de l’expertise du V.________ et aucune pièce du dossier ne permet d’en douter. Le rapport psychiatrique établi à la suite du second séjour à C.________ en mai 2018 fait d’ailleurs état d’un épisode dépressif léger, versus épisode dépressif moyen lors du premier séjour en mars 2017.</w:t>
      </w:r>
    </w:p>
    <w:p>
      <w:r>
        <w:t>- 25 - Les rapports médicaux du psychiatre traitant du recourant ne permettent pas de s’écarter de l’appréciation qui précède. En effet, dans sa lettre du 11 août 2020, le Dr H.________ se limite à affirmer que l’état de santé du recourant n’est pas modifié de manière significative depuis son dernier rapport à l’OAI du 6 juin 2017, sans aucune motivation et sans aucune prise de position sur les conclusions de l’expertise du V.________ et des médecins de la C.________. Quant à ses deux précédents rapports des</w:t>
      </w:r>
    </w:p>
    <w:p>
      <w:r>
        <w:rPr>
          <w:b/>
        </w:rPr>
        <w:t>E. 6</w:t>
      </w:r>
    </w:p>
    <w:p>
      <w:r>
        <w:t>a) En conclusion, le recours, mal fondé, doit être rejeté et la décision litigieuse confirmée, sans qu’il y ait lieu de compléter l’instruction comme le requiert le recourant par la mise en œuvre d’une expertise pluridisciplinaire. En effet, le dossier est complet et permet à la Cour de céans de statuer en pleine connaissance de cause (appréciation anticipée des preuves ; ATF 130 II 425 c. 2.1 ; 122 II 464 consid. 4a). Il appartiendra à l’intimé d’examiner les rapports médicaux de X.________, produits au stade du recours, dans le cadre d’une procédure d’examen d’une nouvelle demande. b) La procédure de recours en matière de contestation portant sur l’octroi ou le refus de prestations de l’assurance-invalidité devant le</w:t>
      </w:r>
    </w:p>
    <w:p>
      <w:r>
        <w:t>- 27 - tribunal cantonal des assurances est soumise à des frais de justice (art. 69 al. 1bis première phrase LAI). Il convient de les fixer à 400 fr. et de les mettre à la charge du recourant, vu le sort de ses conclusions.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le recourant n’obtenant pas gain de cause (art. 61 let. g LPGA). d) Par décision du juge instructeur du 10 juin 2020, le recourant a été mis au bénéfice de l’assistance judiciaire avec effet au 19 mars 2020 et a obtenu à ce titre la commission d’un avocat d’office en la personne de Me Laurent Damond. Ce dernier a produit sa liste des opérations le 1er juillet 2021. Ces opérations étant justifiées, l’indemnité de Me Damond est arrêtée à 2'520 francs, débours et TVA compris (art. 2, 3 al. 1 et 3bis RAJ [règlement cantonal du 7 décembre 2010 sur l’assistance judiciaire en matière civile ; BLV 211.02.3]).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