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ZD20.010397 vom 21. Juli 2021</w:t>
      </w:r>
    </w:p>
    <w:p>
      <w:r>
        <w:t>VD Tribunal cantonal, 2021-07-21, FR</w:t>
      </w:r>
    </w:p>
    <w:p>
      <w:r>
        <w:rPr>
          <w:b/>
        </w:rPr>
        <w:t xml:space="preserve">Quelle: </w:t>
      </w:r>
      <w:r>
        <w:t>https://mcp.opencaselaw.ch/entscheid/vd_gerichte_ZD20.010397</w:t>
      </w:r>
    </w:p>
    <w:p>
      <w:r>
        <w:t>FR: VD_GERICHTE ZD20.010397 du 21 juillet 2021</w:t>
      </w:r>
    </w:p>
    <w:p>
      <w:r>
        <w:t>IT: VD_GERICHTE ZD20.010397 del 21 luglio 2021</w:t>
      </w:r>
    </w:p>
    <w:p>
      <w:pPr>
        <w:pStyle w:val="Heading2"/>
      </w:pPr>
      <w:r>
        <w:t>Erwägungen</w:t>
      </w:r>
    </w:p>
    <w:p>
      <w:r>
        <w:rPr>
          <w:b/>
        </w:rPr>
        <w:t>E. 21</w:t>
      </w:r>
    </w:p>
    <w:p>
      <w:r>
        <w:t>juin 2015. Quant à la capacité de travail dans une activité adaptée, elle restait encore difficile à déterminer. Dans une demande de convocation pour consultation mucoviscidose du 8 mars 2017, adressée au service de pneumologie du Centre C.________ (ci-après : le Centre C.________), la Dre M.________, spécialiste en pneumologie, a indiqué avoir diagnostiqué une mutation F508del du gène CFTR à l'état hétérozygote, une mucoviscidose de forme</w:t>
      </w:r>
    </w:p>
    <w:p>
      <w:r>
        <w:t>- 3 - fruste, une sarcoïdose associée avec calcification ganglionnaire bilatérale, une BPCO GOLD 3 (sur tabagisme sevré depuis le mois de septembre 2016), un syndrome des apnées du sommeil de degré léger IAH 7 (traité par c-PAP [Continuous Positive Airway Pressure]) et des bronchectasies avec bronchorrhée. Elle relevait également une hospitalisation du 21 au</w:t>
      </w:r>
    </w:p>
    <w:p>
      <w:r>
        <w:rPr>
          <w:b/>
        </w:rPr>
        <w:t>E. 23</w:t>
      </w:r>
    </w:p>
    <w:p>
      <w:r>
        <w:t>septembre 2014 consid. 4.2). bb)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w:t>
      </w:r>
    </w:p>
    <w:p>
      <w:r>
        <w:t>- 15 - cc)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Le pouvoir d'examen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126 V 75 consid. 6 ; 8C_227/2017 du 17 mai 2018 consid. 3.3). d) Si le taux d’invalidité du bénéficiaire de rente subit une modification notable, la rente est, d’office ou sur demande, révisée pour l’avenir, à savoir augmentée ou réduite en conséquence, ou encore supprimée (art. 17 al. 1 LPGA). Conformément à l’art. 88a al. 2 RAI, si la capacité de gain de l’assuré ou sa capacité d’accomplir les travaux habituels se dégrade, ce changement est déterminant pour l’accroissement du droit aux prestations dès qu’il a duré trois mois sans interruption notable. Ces dispositions sont applicables, par analogie, lorsqu’un office de l’assurance-invalidité alloue, avec effet rétroactif, une rente d’invalidité temporaire ou échelonnée (ATF 133 V 263 consid. 6.1 ; 131 V 164 consid. 2.2 ; 125 V 413 consid. 2d).</w:t>
      </w:r>
    </w:p>
    <w:p>
      <w:r>
        <w:t>- 16 - 5.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6. a) A titre liminaire, on relèvera que le rapport d’expertise du 12 février 2019 du H.________ est probant. En effet, les conclusions de ce rapport d’expertise, particulièrement celles relatives aux diagnostics, à la</w:t>
      </w:r>
    </w:p>
    <w:p>
      <w:r>
        <w:t>- 17 - capacité de travail et aux limitations fonctionnelles, sont basées sur une étude circonstanciée du dossier et le résultat d’examens objectifs. Elles sont également claires, motivées et convaincantes. Singulièrement, les experts ont relevé que les bilans fonctionnels ventilatoires confirmaient la présence d'une atteinte obstructive sévère, le volume expiratoire maximal par seconde (VEMS) étant inférieur à 50 % des valeurs de prédiction. Cette constatation est également attestée par les autres médecins au dossier, lesquels faisaient état de valeurs similaires au cours des années ayant précédé l’expertise du 12 février 2019. En effet, dans leur rapport du 29 septembre 2017, les Dres B.________ et F.________ indiquaient qu’au 4 avril 2017, le VEMS était de 65 %. Dans son rapport du 23 juin 2017, la Dre T.________, spécialiste en pneumologie auprès du Centre C.________, retenait un VEMS de 44 % au 11 octobre 2016, de 49 % au 28 octobre 2016, de 47 % au 14 mars 2017, de 49 % au 13 avril 2017 et de 65 % au 14 avril 2017. Dans son rapport du</w:t>
      </w:r>
    </w:p>
    <w:p>
      <w:r>
        <w:rPr>
          <w:b/>
        </w:rPr>
        <w:t>E. 28</w:t>
      </w:r>
    </w:p>
    <w:p>
      <w:r>
        <w:t>juillet 2018, la Dre M.________, pour sa part, indiquait un VEMS de 50 % au 28 mai 2018 et de 65 % au mois de juillet 2018. b) Compte tenu de la valeur probante du rapport d’expertise du 12 février 2019, il n’y a pas lieu de s’écarter des conclusions des experts du H.________, d’après lesquelles la recourante disposait d’une capacité de travail de 50 % dans une activité adaptée à ses limitations fonctionnelles, à savoir pas d’effort physique, pas d'exposition à des irritants respiratoires, pas de port de charges et pouvoir bénéficier d’horaires de travail réguliers. A cet égard, les experts ont néanmoins expressément souligné qu’au vu de la nature progressive de la bronchopneumopathie chronique obstructive (BPCO), la situation actuelle était instable et qu’il fallait s’attendre à une dégradation progressive de la fonction ventilatoire et à une mise sous oxygène dans un avenir proche, ce qui signifierait alors un passage à une incapacité totale de travail. Ces conclusions concordent au demeurant avec celles du rapport du 28 juillet 2018 de la Dre M.________, laquelle retenait, elle- aussi, une capacité de travail partielle dans une activité adaptée aux</w:t>
      </w:r>
    </w:p>
    <w:p>
      <w:r>
        <w:t>- 18 - limitations fonctionnelles, sous la forme d’un travail de bureau à un taux d'activité maximal de 30 %, hors de toute exposition à un agent irritant ou toxique respiratoire. Plus important, elle prévoyait également que le pronostic se dirigeait vers une insuffisance respiratoire chronique sévère, à haut risque d'une oxygénodépendance, et que l’aptitude au travail partielle diminuerait sur le long terme en raison de l'évolution spontanée de la maladie. c) En l’occurrence, on ne peut que constater qu’ensuite du rapport d’expertise du 12 février 2019, la situation de santé de la recourante s’est en effet aggravée, ce qui est confirmé par les différents rapports médicaux au dossier. Déjà dans son rapport du 13 août 2019, la Dre M.________ signalait une exacerbation sévère des différentes atteintes respiratoires et plusieurs épisodes infectieux. De même, elle observait qu’au 9 juillet 2019, le VEMS se situait à 34 % de la valeur prédite, malgré le traitement intensif entrepris. S’agissant des Drs V.________, K.________ et J.________, ils soulignaient dans leur rapport du 3 novembre 2019 les infections respiratoires à répétition – dont notamment une surinfection bronchique à Pseudomonas aeruginosa le 23 août 2019 – accompagnées du déclin fonctionnel et de l’insuffisance respiratoire hypoxémique, ainsi que les différentes hospitalisations survenues au cours des mois précédents (notamment du 14 au 20 novembre 2018, durant le mois de juillet 2018 et du 21 août au 10 septembre 2019). En particulier, ils indiquaient qu’en date du 21 août 2019 – soit à l’entrée de la recourante dans le service de pneumologie du Groupement hospitalier Q.________ et lorsque l’exacerbation était la plus aigüe –, le VEMS était à 25 % du prédit ; en revanche, au mois de septembre 2019, il se situait à 40 % du prédit. De surcroît, ces médecins mentionnaient encore la possibilité d’une transplantation en cas de déclin fonctionnel supplémentaire, cette stratégie ayant été discutée avec la recourante. Quant à la Dre M.________, elle mentionnait dans son rapport du 19 octobre 2020 que la recourante bénéficiait d’une oxygénothérapie depuis 2019, élément qui, combiné aux hospitalisations de plus en plus rapprochées, lui permettait</w:t>
      </w:r>
    </w:p>
    <w:p>
      <w:r>
        <w:t>- 19 - de retenir que l’inaptitude au travail était complète. Sur la base de ses différents « Pulmonary Function Analysis », cette médecin a également constaté que le VEMS se situait à 34 % du prédit le 13 août 2019, à 28 % du prédit le 21 octobre 2019, à 39 % du prédit le 5 novembre 2019, à 39 % du prédit le 19 décembre 2019 et à 41 % du prédit le 9 novembre 2020. Il découle de ces constatations que les fonctions pulmonaires de la recourante se sont en effet péjorées, le VEMS se situant à 50 % du prédit au moment de l’expertise du 12 février 2019, à 34 % de la valeur prédite au 9 juillet 2019 et à 41 % du prédit le 9 novembre 2020 – le VEMS étant resté relativement stable entre ses deux dernières dates, oscillant autour des 40 %. De même, les experts du H.________ affirmaient dans leur rapport d’expertise du 12 février 2019 qu’en ce qui concernait les mesures thérapeutiques susceptibles de ralentir l’évolution de la BPCO, la chirurgie de réduction des volumes pulmonaires, l’administration d’oxygène (considérée au moment de l’expertise comme non indiquée, la recourante souffrant d’une forme de BPCO à prédominance emphysémateuse) et la transplantation pulmonaire seraient envisagés à un stade ultime de la maladie. Or il apparait que depuis l’expertise du 12 février 2019, d’une part, la recourante a été mise sous oxygène – ce qui, comme susmentionné, doit entraîner le passage à une complète incapacité de travail, selon l’avis des experts – et, d’autre part, la possibilité d’une transplantation pulmonaire est sérieusement discutée par les médecins et la recourante. Ces éléments attestent de la péjoration de l’état de santé de la recourante. Cette aggravation est également reconnue par la Dre D.________ dans ses avis SMR des 5 novembre 2020 et 6 janvier 2021. En particulier, elle conclut dans ce dernier avis que la capacité de travail est désormais nulle dans toutes activités depuis le mois de septembre 2019, du fait d'une hypoxémie aggravée au moindre effort et de la nécessité d’une oxygénothérapie au long cours.</w:t>
      </w:r>
    </w:p>
    <w:p>
      <w:r>
        <w:t>- 20 - d) Au vu des éléments qui précédent, il n’est pas contesté – ni contestable – que la capacité de travail de la recourante est désormais nulle dans toute activité à compter du mois de septembre 2019. Par conséquent, elle a droit à une rente entière d’invalidité dès le 1er décembre 2019 (art. 88a al. 2 RAI). 7. a) Il reste à examiner le taux d’invalidité fixé par l’intimé pour la période du 1er juin 2016 au 30 novembre 2019, la recourante faisant valoir que le taux d’abattement de 10 % appliqué sur le salaire statistique retenu au titre de revenu d’invalide doit être porté à 15 %. On indiquera au préalable que dans la mesure où celle-ci ne remet pas en cause les termes de la comparaison des revenus effectuée par l’office intimé, il n’y a pas lieu de s’en écarter. b) En l’occurrence, le taux d’abattement de 10 % retenu afin de prendre en compte des limitations fonctionnelles de la recourante tient suffisamment compte des circonstances du cas particulier. S’agissant en premier lieu des facteurs de l’âge (54 ans au moment du prononcé de la décision litigieuse) et du taux d’occupation partiel, ceux-ci ne sont pas susceptibles d’influencer les perspectives salariales de la recourante, eu égard aux activités qui étaient encore exigibles de sa part jusqu’au mois de septembre 2019, à savoir un travail en tant que vendeuse à temps partiel dans un environnement non stressant. En particulier et selon la jurisprudence, le critère du taux d’occupation réduit peut être pris en compte pour déterminer l'étendue de l'abattement à opérer sur le salaire statistique d'invalide lorsque le travail à temps partiel se révèle proportionnellement moins rémunéré que le travail à plein temps. Toutefois, le travail à plein temps n'est pas nécessairement proportionnellement mieux rémunéré que le travail à temps partiel ; dans certains domaines d'activités, les emplois à temps partiel sont en effet répandus et répondent à un besoin de la part des employeurs, qui sont prêts à les rémunérer en conséquence. En particulier, selon les statistiques de l'Enquête suisse sur les salaires, les femmes exerçant une activité à temps partiel ne perçoivent souvent pas</w:t>
      </w:r>
    </w:p>
    <w:p>
      <w:r>
        <w:t>- 21 - un revenu moins élevé proportionnellement à celles qui sont occupées à plein temps (TF 9C_373/2019 du 18 juillet 2019 consid. 4.2 et les références citées ; voir également ATF 126 V 75 consid. 5a/cc). Or, en l’occurrence, la recourante ne fait pas valoir qu'il en irait différemment dans le cas d'espèce et ne met pas en évidence un élément qui justifierait de s'écarter de cette jurisprudence. Au demeurant, elle ne prétend pas que ce facteur induirait un désavantage salarial puisqu'elle indique simplement qu’« elle devra se contenter d’une activité à un taux de 50 % » (cf. acte de recours du 9 mars 2020). En ce qui concerne en second lieu le probable absentéisme professionnel fréquent de la recourante, le Tribunal fédéral a considéré à diverses reprises que le risque d'absences pour cause de maladie supérieures à la moyenne n’était pas une circonstance pertinente pour l’abattement (TF 8C_450/2016 du 6 octobre 2016 consid. 5.3.3 ; TF 9C_380/2015 du 17 novembre 2015 consid. 3.2.1 et les références citées). c) Eu égard à ce qui précède, il convient de confirmer la comparaison des revenus effectuée par l’office intimé et le taux d’invalidité de 49 % auquel il est parvenu. La recourante a ainsi droit à un quart de rente d’invalidité du 1er juin 2016 au 30 novembre 2019. 8. a) En définitive, le recours, bien fondé, doit être admis et les décisions rendues les 7 février 2020 et 3 avril 2020 par l’intimé doivent être réformées, en ce sens qu’Z.________ a droit à un quart de rente d’invalidité du 1er juin 2016 au 30 novembre 2019 et à une rente entière d’invalidité dès le 1er décembre 2019.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w:t>
      </w:r>
    </w:p>
    <w:p>
      <w:r>
        <w:t>- 22 - c) Obtenant gain de cause avec l’assistance d’un avocat du service juridique d’un organisme d’utilité publique, la recourante a droit à une indemnité de dépens à titre de participation aux honoraires de son conseil (art. 61 let. g LPGA). Compte tenu de l’importance et de la complexité du litige, ainsi que du temps requis pour le traitement d’une telle affaire, il convient d’arrêter l’équitable indemnité de partie à laquelle elle a droit à 1'500 fr., débours et éventuelle TVA compris, et de la mettre intégralement à la charge de l’autorité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