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ZD20.008077 vom 1. Juli 2022</w:t>
      </w:r>
    </w:p>
    <w:p>
      <w:r>
        <w:t>VD Tribunal cantonal, 2022-07-01, FR</w:t>
      </w:r>
    </w:p>
    <w:p>
      <w:r>
        <w:rPr>
          <w:b/>
        </w:rPr>
        <w:t xml:space="preserve">Quelle: </w:t>
      </w:r>
      <w:r>
        <w:t>https://mcp.opencaselaw.ch/entscheid/vd_gerichte_ZD20.008077</w:t>
      </w:r>
    </w:p>
    <w:p>
      <w:r>
        <w:t>FR: VD_GERICHTE ZD20.008077 du 1 juillet 2022</w:t>
      </w:r>
    </w:p>
    <w:p>
      <w:r>
        <w:t>IT: VD_GERICHTE ZD20.008077 del 1 luglio 2022</w:t>
      </w:r>
    </w:p>
    <w:p>
      <w:pPr>
        <w:pStyle w:val="Heading2"/>
      </w:pPr>
      <w:r>
        <w:t>Erwägungen</w:t>
      </w:r>
    </w:p>
    <w:p>
      <w:r>
        <w:rPr>
          <w:b/>
        </w:rPr>
        <w:t>E. 10</w:t>
      </w:r>
    </w:p>
    <w:p>
      <w:r>
        <w:t>Le dossier est complet, permettant à la Cour de céans de statuer en pleine connaissance de cause. Un complément d’instruction apparaît inutile et les requêtes d’audition personnelle et d’expertise médicale judiciaire de la recourante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140 I 285 consid. 6.3.1 ; 134 I 140 consid. 5.3 ; 130 II 425 consid. 2.1).</w:t>
      </w:r>
    </w:p>
    <w:p>
      <w:r>
        <w:t>- 38 -</w:t>
      </w:r>
    </w:p>
    <w:p>
      <w:r>
        <w:rPr>
          <w:b/>
        </w:rPr>
        <w:t>E. 11</w:t>
      </w:r>
    </w:p>
    <w:p>
      <w:r>
        <w:t>a) Sur le vu de ce qui précède, le recours doit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Rachid Hussein peut prétendre une équitable indemnité pour son mandat d’office, qu’il convient de fixer, sous déduction de l’indemnité allouée de 1'099 fr. 20, débours et TVA compris, pour la période du 24 février au 3 juin 2020, à 773 fr. 50, débours et TVA compris (art. 2, 3 al. 2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