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ZD20.006206 vom 4. März 2021</w:t>
      </w:r>
    </w:p>
    <w:p>
      <w:r>
        <w:t>VD Tribunal cantonal, 2021-03-04, FR</w:t>
      </w:r>
    </w:p>
    <w:p>
      <w:r>
        <w:rPr>
          <w:b/>
        </w:rPr>
        <w:t xml:space="preserve">Quelle: </w:t>
      </w:r>
      <w:r>
        <w:t>https://mcp.opencaselaw.ch/entscheid/vd_gerichte_ZD20.006206</w:t>
      </w:r>
    </w:p>
    <w:p>
      <w:r>
        <w:t>FR: VD_GERICHTE ZD20.006206 du 4 mars 2021</w:t>
      </w:r>
    </w:p>
    <w:p>
      <w:r>
        <w:t>IT: VD_GERICHTE ZD20.006206 del 4 marzo 2021</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w:t>
      </w:r>
    </w:p>
    <w:p>
      <w:r>
        <w:t>- 15 -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12 février 2020 contre la décision de l’intimé du 13 janvier 2020 a été interjeté en temps utile. Il respecte les conditions de forme prévues par la loi, au sens notamment de l’art. 61, let. b, LPGA, de sorte qu’il est recevable.</w:t>
      </w:r>
    </w:p>
    <w:p>
      <w:r>
        <w:rPr>
          <w:b/>
        </w:rPr>
        <w:t>E. 2</w:t>
      </w:r>
    </w:p>
    <w:p>
      <w:r>
        <w:t>Formulant des griefs préalables de nature formelle, la recourante reproche à l’intimé d’avoir violé son droit d’être entendue. Elle relève que l’intimé s’est limité à reprendre les termes de son projet de décision du 5 septembre 2017, lequel est antérieur de plus de deux ans à la décision entreprise, sans fournir quelconque motivation supplémentaire, notamment quant au diagnostic de fibromyalgie et quant à la capacité de travail retenue dans son cas.</w:t>
      </w:r>
    </w:p>
    <w:p>
      <w:r>
        <w:t>- 16 - a)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(Constitution fédérale de la Confédération suisse du 18 avril 1999 ; RS 101) ne confère toutefois pas le droit d'être entendu oralement, ni celui d'obtenir l'audition de témoins.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134 I 140 consid. 5.3 et les références). b)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125 II 369 consid. 2c). En règle générale, l'étendue de l'obligation de motiver dépend de la complexité de l'affaire à juger, de la liberté d'appréciation dont jouit le juge et de la potentielle gravité des conséquences de sa décision (TF 8C_1001/2008 du 31 juillet 2009, consid. 2.2). Le juge, respectivement l'administration, n’a toutefois pas l’obligation d’exposer et de discuter tous les arguments invoqués par les parties, mais peut se limiter à ceux qui lui apparaissent pertinents (ATF 136 I 229 consid. 5.2 ; 136 V 351 consid. 4.2 et les références citées ; TF 5A_13/2011 du 8 février 2011 consid. 3.1). Il n’y a violation du droit d’être entendu que si l’autorité ne satisfait pas à son devoir minimum d’examiner les problèmes pertinents (ATF 133 III 439 consid. 3.3 ; 130 II 530 consid. 4.3).</w:t>
      </w:r>
    </w:p>
    <w:p>
      <w:r>
        <w:t>- 17 - c)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d) En l'espèce, l’intimé a confié la réalisation d’une expertise pluridisciplinaire au N.________ dans la cadre de la procédure d’audition, au cours de laquelle la recourante avait fait valoir ses objections au projet de décision du 5 septembre 2017 par écriture du 6 octobre 2017, respectivement du 6 décembre 2017. On peut effectivement constater que l’intimé n’a, selon toute vraisemblance, pas fait parvenir au mandataire de la recourante un tirage du rapport corrélatif avant d’établir la décision du 13 janvier 2020. Cela étant, l’intimé a adressé un courrier à ce dernier le 24 octobre 2019, exposant que les experts du N.________ n’avaient retenu aucune limitation fonctionnelle, que la recourante était dotée de ressources et que les indicateurs pertinents en matière de trouble somatoforme douloureux avaient été analysés. Il relevait que la capacité de travail était entière et que l’instruction complémentaire conduite auprès du N.________ permettait de maintenir les termes du projet de décision du 5 septembre 2017. La correspondance de l’intimé du 24 octobre 2019, certes succincte, apparaît suffisante pour considérer que les motifs à l’origine de l’octroi d’une rente d’invalidité limitée dans le temps ont été communiqués au mandataire de la recourante. Par ailleurs, cette dernière a été en mesure de faire valoir ses arguments auprès de la Cour de céans, dotée d’un plein pouvoir d’examen. Dès lors, une violation éventuelle de son droit d’être entendue pourrait de toute façon être considérée comme exceptionnellement réparée.</w:t>
      </w:r>
    </w:p>
    <w:p>
      <w:r>
        <w:rPr>
          <w:b/>
        </w:rPr>
        <w:t>E. 3</w:t>
      </w:r>
    </w:p>
    <w:p>
      <w:r>
        <w:t>a) En procédure juridictionnelle administrative, ne peuvent être examinés et jugés que les rapports juridiques à propos desquels</w:t>
      </w:r>
    </w:p>
    <w:p>
      <w:r>
        <w:t>- 18 -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c) En l’espèce, le litige porte sur le droit de la recourante à une rente d’invalidité au-delà du 31 mai 2016, singulièrement sur l’appréciation de sa capacité de travail dès le 25 février 2016.</w:t>
      </w:r>
    </w:p>
    <w:p>
      <w:r>
        <w:rPr>
          <w:b/>
        </w:rPr>
        <w:t>E. 4</w:t>
      </w:r>
    </w:p>
    <w:p>
      <w:r>
        <w:t>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w:t>
      </w:r>
    </w:p>
    <w:p>
      <w:r>
        <w:t>- 19 -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rPr>
          <w:b/>
        </w:rPr>
        <w:t>E. 5</w:t>
      </w:r>
    </w:p>
    <w:p>
      <w:r>
        <w:t>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b) A teneur de l’art. 28 al. 2 LAI,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w:t>
      </w:r>
    </w:p>
    <w:p>
      <w:r>
        <w:rPr>
          <w:b/>
        </w:rPr>
        <w:t>E. 6</w:t>
      </w:r>
    </w:p>
    <w:p>
      <w:r>
        <w:t>a) Le Tribunal fédéral a introduit un schéma d’évaluation du droit à une rente de l’assurance-invalidité au moyen d’indicateurs, dans les cas de troubles somatoformes douloureux et d’affections psychosomatiques assimilées (ATF 141 V 281 consid. 4). S’agissant de l’application de cette jurisprudence, le Tribunal fédéral l’a d’abord étendue aux dépressions moyennes et légères (ATF 143 V 409), puis à tous les troubles psychiques (ATF 143 V 418). Cette jurisprudence n’influe</w:t>
      </w:r>
    </w:p>
    <w:p>
      <w:r>
        <w:t>- 20 - cependant pas sur celle rendue en lien avec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bb) La grille d’évaluation de la capacité résiduelle de travail comprend également un examen de la cohérence entre l’analyse du degré</w:t>
      </w:r>
    </w:p>
    <w:p>
      <w:r>
        <w:t>- 21 -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7</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w:t>
      </w:r>
    </w:p>
    <w:p>
      <w:r>
        <w:t>- 22 -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137 V 210 consid. 6 ; TF 9C_109/2018 du 15 juin 2018 consid. 5.1).</w:t>
      </w:r>
    </w:p>
    <w:p>
      <w:r>
        <w:rPr>
          <w:b/>
        </w:rPr>
        <w:t>E. 8</w:t>
      </w:r>
    </w:p>
    <w:p>
      <w:r>
        <w:t>a) Du point de vue somatique, la recourante fait grief aux experts mandatés par l’intimé de ne pas avoir justifié le diagnostic de fibromyalgie et de s’être écartés de l’appréciation de ses médecins traitants, sans avoir mesuré l’impact concret de cette pathologie sur sa capacité de travail.</w:t>
      </w:r>
    </w:p>
    <w:p>
      <w:r>
        <w:t>- 23 - b) En l’espèce, le registre rhumatologique a fait l’objet de plusieurs investigations spécialisées, lesquelles sont parvenues sensiblement aux mêmes résultats. En premier lieu, elle a été examinée par le Dr J.________ les 3 et 19 juin 2015. Ce dernier a clairement indiqué ne disposer d’aucune entité nosologique pour expliquer le tableau douloureux diffus, de sorte qu’il a évoqué le diagnostic de fibromyalgie (cf. rapport de ce praticien du 19 juin 2015). En second lieu, lors de l’examen clinique réalisé au SMR le 10 avril 2017, le Dr G.________ a constaté la pauvreté des constats organiques et cliniques, concluant à une concordance limitée avec les plaintes rapportés par la recourante. Il a dès lors également envisagé un diagnostic de fibromyalgie et exclut toute lésion ostéoarticulaire significative, susceptible de se répercuter sur la capacité de travail (cf. rapport d’examen clinique du SMR du 1er mai 2017, p. 15 et 16). Il en a enfin été de même au cours de l’investigation conduite par le Dr S.________ le 12 avril 2019 pour le compte du N.________. Ce dernier s’est rallié à l’appréciation des précédents somaticiens pour retenir une capacité de travail entière sur le plan rhumatologique, quand bien même les critères d’une fibromyalgie étaient réalisés dans le cas particulier. On relève enfin que l’examen de médecine générale diligenté le même jour par le Dr R.________ du N.________ n’a pas davantage mis en évidence de substrat organique de nature à justifier les plaintes de la recourante (cf. rapport d’expertise pluridisciplinaire du N.________ du 8 juillet 2019, Annexes 2 et 3, p. 19 et 20, ainsi que 25 et 26). c) Vu les éléments ci-dessus, les arguments de la recourante apparaissent infondés. On observe en effet que son état de santé somatique, singulièrement rhumatologique, a été analysé exhaustivement par plusieurs spécialistes. Ceux-ci ont unanimement mis en évidence la pauvreté des constats objectifs aux termes d’investigations fouillées, communiquant des appréciations convaincantes dans leur domaine de compétences. Il est en outre erroné de prétendre que les spécialistes mandatés par l’intimé (les Drs G.________ et S.________) se seraient écartés de l’avis des médecins traitants de la recourante, puisque le Dr J.________, consulté sur incitation du Dr D.________, avait en son temps fait part de conclusions superposables à celles retenues au sein du SMR et</w:t>
      </w:r>
    </w:p>
    <w:p>
      <w:r>
        <w:t>- 24 - du N.________. Au surplus, la recourante ne fait pas valoir de nouvelle pièce médicale qui ferait état d’une modification de son état de santé rhumatologique. On doit au contraire observer que celui-ci est demeuré stationnaire au vu des résultats convergents des différentes investigations menées à plusieurs années d’intervalle (juin 2015 auprès du Dr J.________, avril 2017 auprès du SMR et avril 2019 auprès du N.________). d) Au demeurant, il convient de rappeler que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Dès lors que les facteurs psychosomatiques avaient une influence décisive sur le développement d'une telle maladie, le concours d'un médecin spécialisé en psychiatrie était donc indispensable pour en poser le diagnostic (ATF 132 V 65 consid. 4). Il apparaît par conséquent que l’impact de la fibromyalgie diagnostiquée auprès de la recourante, assimilée à un trouble somatoforme douloureux, doit être évalué au moyen de la grille d’indicateurs exposée au consid. 6c supra et que les résultats des investigations conduites par les spécialistes en psychiatrie sont déterminants pour ce type de pathologie.</w:t>
      </w:r>
    </w:p>
    <w:p>
      <w:r>
        <w:rPr>
          <w:b/>
        </w:rPr>
        <w:t>E. 9</w:t>
      </w:r>
    </w:p>
    <w:p>
      <w:r>
        <w:t>a) Le registre psychiatrique a été évalué au sein du SMR par la Dre H.________ le 10 avril 2017 et par le Dr T.________ pour le compte du N.________ le 10 avril 2019. Ces deux spécialistes ont relaté un status psychique substantiellement identique, en présence d’une humeur dépressive de degré léger. Aucun trouble de la personnalité n’était relevé, ni aucun trouble anxieux. Les critères déterminants pour reconnaître un état de stress post-traumatique étaient par ailleurs absents au cours de l’examen réalisé au N.________ (cf. rapport d’examen du SMR du 1er mai 2017, p. 14 et 15 ; rapport d’expertise pluridisciplinaire du N.________ du 8 juillet 2019, Annexe 1, p. 8 et 9). Tant la Dre H.________ que le Dr T.________ ont conclu à un trouble dépressif récurrent, épisode actuel léger avec ou sans syndrome somatique. Des traits de personnalité particuliers</w:t>
      </w:r>
    </w:p>
    <w:p>
      <w:r>
        <w:t>- 25 - (narcissique ou dépendante / émotionnellement labile) n’étaient pas susceptibles d’entraîner des restrictions psychiques. L’appréciation de la Dre E.________ était prise en compte dès le 16 décembre 2014, tandis que la capacité de travail était considérée comme entière dès le 25 février 2016, soit dès la sortie de l’Hôpital [...] (cf. rapport du SMR précité, p. 19 et 20 ; rapport d’expertise du N.________ précité, p. 9 et 10). b) En l’occurrence, contrairement à ce que soutient la recourante, on ne voit pas que les spécialistes mandatés par l’intimé aient écarté les appréciations de ses médecins traitants. Lesdits spécialistes ont en revanche retenu l’incapacité de travail prononcée par la Dre E.________ dès le 16 décembre 2014 et pris en considération l’amélioration relatée à la sortie du Centre hospitalier F.________, où l’urgence et la dangerosité de la situation étaient qualifiées de faibles (cf. rapport du Centre hospitalier F.________ du 26 février 2016). c) S’agissant du diagnostic d’état de stress post-traumatique, évoqué au sein du Centre K.________, le Dr T.________ a expressément exclu que les conditions posées pour reconnaitre une telle affection soient réalisées (cf. rapports de la Dre L.________ des 3 novembre 2016, 19 janvier 2017 et 8 novembre 2017 ; rapport du Dr M.________ du 16 janvier 2018 ; rapport d’expertise du N.________ précité, Annexe 1, p. 9). On relèvera que ce diagnostic apparaît manifestement sujet à caution, lorsqu’il est posé de nombreuses années après les évènements potentiellement traumatisants (in casu : décès des parents en 2000 et 2001, violences conjugales entre 2000 et 2005). Par ailleurs, on observe que ce diagnostic n’a été évoqué ni par la Dre E.________, laquelle a pourtant assumé le suivi de la recourante entre 2003 et 2016, ni dans le cadre de l’hospitalisation au sein du Centre hospitalier F.________ en 2016. Les constats cliniques rapportés par le Centre K.________ n’ont enfin pas été observés au sein du N.________, ni au cours de l’examen réalisé par le SMR. Il s’ensuit que l’appréciation divergente et insuffisamment documentée du Centre K.________ peut être écartée.</w:t>
      </w:r>
    </w:p>
    <w:p>
      <w:r>
        <w:t>- 26 -</w:t>
      </w:r>
    </w:p>
    <w:p>
      <w:r>
        <w:rPr>
          <w:b/>
        </w:rPr>
        <w:t>E. 10</w:t>
      </w:r>
    </w:p>
    <w:p>
      <w:r>
        <w:t>a) Eu égard à la grille des indicateurs préconisée par le Tribunal fédéral, le degré de gravité du tableau clinique et la question de la cohérence ont été commentées par le Dr T.________. Ce dernier a retenu que les plaintes alléguées par la recourante manquaient de cohérence et de plausibilité, alors qu’elle demeurait dotée d’importantes ressources. En effet, la recourante était notamment susceptible d’adaptation et dotée de tout son potentiel de discernement, ce qui la rendait capable de mobiliser ses compétences et connaissances (cf. rapport d’expertise du N.________ du 8 juillet 2019, Annexe 1, p. 10). b) Quand bien même cette appréciation est relativement succincte, il n’en demeure pas moins qu’elle est parfaitement congruente avec les observations consignées par le psychiatre du N.________ au cours de son examen, ainsi qu’avec celles relatées par le SMR en avril 2017. Elle rejoint au surplus pour l’essentiel les évaluations ressortant des examens de rhumatologie et de médecine interne générale réalisés au N.________ (cf. rapport d’expertise du N.________ précité, Annexes 2 et 3, p. 20 et 26).</w:t>
      </w:r>
    </w:p>
    <w:p>
      <w:r>
        <w:rPr>
          <w:b/>
        </w:rPr>
        <w:t>E. 11</w:t>
      </w:r>
    </w:p>
    <w:p>
      <w:r>
        <w:t>a) Il convient en définitive de considérer que la recourante a fait l’objet d’investigations spécialisées exhaustives et motivées à satisfaction, lesquelles permettent d’exclure que la fibromyalgie et les troubles psychiques retenus dans son cas revêtent un degré de gravité suffisant pour être qualifiés d’invalidants à compter du 25 février 2016. b) On ajoutera qu’il apparaît superflu de solliciter les réponses expresses des experts du N.________ à la liste de questions soumise par la recourante le 30 novembre 2018. Cette liste se réfère en effet à l’ancienne jurisprudence du Tribunal fédéral, modifiée à compter de l’ATF 141 V 281. Qui plus est, l’appréciation consensuelle communiquée par le N.________ fournit les éléments pertinents pour considérer que la capacité de travail de la recourante est entière dans toutes activités depuis le 25 février 2016. Quant aux empêchements de la sphère ménagère, ils ont fait l’objet d’une évaluation spécifique à l’issue de l’enquête à domicile réalisée le 20 juin 2017. La recourante n’a fait valoir aucun grief à l’encontre des conclusions contenues dans le rapport corrélatif, daté du 23 juin 2017. Ce</w:t>
      </w:r>
    </w:p>
    <w:p>
      <w:r>
        <w:t>- 27 - document répond du reste aux exigences requises par la jurisprudence fédérale (cf. ATF 128 V 93 ; TF 9C_693/2007 du 2 juillet 2008, consid. 3). Par conséquent, on ne voit pas que les réponses précises aux questions formulées par la recourante soient de nature à apporter un éclairage nouveau ou différent de sa situation. Sa conclusion tendant au renvoi de la cause à l’intimé en vue d’un complément peut ainsi être écartée par appréciation anticipée des preuves (cf. à ce sujet : ATF 124 V 90 consid. 4b et 122 V 157 consid. 1d).</w:t>
      </w:r>
    </w:p>
    <w:p>
      <w:r>
        <w:rPr>
          <w:b/>
        </w:rPr>
        <w:t>E. 12</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TF 9C_236/2009 du 7 octobre 2009 consid. 3 et 4, in : SVR 2010 IV n° 11 p. 35).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w:t>
      </w:r>
    </w:p>
    <w:p>
      <w:r>
        <w:t>- 28 - spécifique d'évaluation de l'invalidité (art. 28a al. 2 LAI en corrélation avec les art. 8 al. 3 LPGA et 27 RAI [règlement du 17 janvier 1961 sur l’assurance-invalidité ; RS 831.201]). Par travaux habituels, il faut notamment entendre l'activité usuelle dans le ménage, l'éducation des enfants ainsi que toute activité artistique ou d'utilité publique (art. 27 RAI).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voir par ailleurs ATF 131 V 51 consid. 5.1.2).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w:t>
      </w:r>
    </w:p>
    <w:p>
      <w:r>
        <w:t>- 29 - atteigne le degré de la vraisemblance prépondérante (ATF 137 V 334 consid. 3.2 et les références). c) Il n’est en l’occurrence pas contesté que la recourante revêt un statut de personne mixte, à savoir active à 80 % et consacrant le 20 % restant à l’accomplissement des tâches ménagères. Ainsi qu’elle l’a elle- même indiqué le 23 avril 2015 et au cours de l’enquête à domicile réalisée le 20 juin 2017, la recourante, en bonne santé, aurait vraisemblablement poursuivi l’activité d’aide-infirmière déployée à 80 % auprès de l’Y.________Sàrl. Dans son cas, il y a donc lieu, à l’instar de l’intimé, de lui appliquer la méthode mixte d’évaluation de l’invalidité en vertu de l’art. 28a al. 3 LAI. d) Ainsi qu’il ressort du rapport d’enquête à domicile du 23 juin 2017, dont la recourante ne conteste pas les conclusions, il s’agit de retenir un degré d’invalidité de 1 % pour l’accomplissement du ménage. e) Par conséquent, compte tenu d’une incapacité totale de travail reconnue entre le 16 décembre 2014 et le 25 février 2016, le degré d’invalidité de la recourante se monte à 80 % ([0,8 x 100] + [0,2 x 1]), comme l’a retenu l’intimé. f) Quant à la période débutant le 26 février 2016, compte tenu d’une capacité de travail entière dans toutes activités, y compris dans l’activité habituelle, il ne se justifie pas de procéder à une comparaison des revenus dans une activité adaptée. Le degré d’invalidité de la recourante est en effet nul, eu égard à l’exigibilité de l’exercice de son activité habituelle ([0,8 x 0] + [0,2 x 1]). Le droit à la rente n’est donc plus ouvert dès le 1er juin 2016 (cf. art. 88bis al. 2 RAI), ainsi que le retient la décision attaquée.</w:t>
      </w:r>
    </w:p>
    <w:p>
      <w:r>
        <w:rPr>
          <w:b/>
        </w:rPr>
        <w:t>E. 13</w:t>
      </w:r>
    </w:p>
    <w:p>
      <w:r>
        <w:t>a) En conclusion, le recours, mal fondé, doit être rejeté et la décision de l’intimé du 13 janvier 2020 confirmée.</w:t>
      </w:r>
    </w:p>
    <w:p>
      <w:r>
        <w:t>- 30 - b) En dérogation à l’art. 61 let. a LPGA, la procédure de recours en matière de contestations portant sur l’octroi ou le refus de prestations de l’AI devant le tribunal cantonal des assurances est soumise à des frais de justice (art. 69 al. 1 LAI). En l’espèce, les frais judiciaires, bis arrêtés à 400 fr., sont imputés à la recourante qui succombe. Ils sont toutefois provisoirement laissés à la charge de l’Etat, puisqu’elle a été mise au bénéfice de l’assistance judiciaire par décision du 14 février 2020. c) En outre, n’obtenant pas gain de cause, la recourante ne saurait prétendre des dépens (art. 55 al. 1 LPA-VD et art 61 let. g LPGA). d) Me Brandt a été désigné en qualité d’avocat d’office à compter du 12 février 2020 jusqu’au terme de la présente procédure (art. 118 al. 1, let. c, CPC [Code de procédure civile du 19 décembre 2008 ; RS 272], applicable par renvoi de l'art. 18 al. 5 LPA-VD). Il a produit le relevé des opérations le 16 octobre 2020, justifiant 6 heures et 25 minutes de travail effectuées pour l’essentiel (à l’exception de 10 minutes) par Me Milena Chiari, avocate et anciennement avocate-stagiaire de l’étude. C’est ici le lieu de relever qu’entre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(ATF 143 III 10 consid. 3.1 et les références citées). Si l’avocat inscrit au tableau cantonal peut certes déléguer à l’avocat-stagiaire les tâches impliquant la rédaction de mémoire et d’actes de procédures, ainsi que la représentation des parties en justice pour autant qu’il en assume la supervision, la direction et la responsabilité (art. 28 ss LPav [loi vaudoise du 9 juin 2015 sur la profession d’avocats ; BLV 177.11]) – ce qui est le cas pour opérations effectuées par Me Chiari au stade de la procédure administrative -, n’est en revanche pas arbitraire la décision du juge de réduire la note d’honoraires présentée par un mandataire désigné d’office pour la procédure cantonale de la part d’honoraires correspondant à l’activité</w:t>
      </w:r>
    </w:p>
    <w:p>
      <w:r>
        <w:t>- 31 - déployée par un collègue de la même étude d’avocats au bénéfice d’un pouvoir de substitution en vertu d’une convention interne à l’étude alors qu’aucune autorisation judiciaire pour cette substitution n’avait été demandée et obtenue (ATF 141 I 70 consid. 6). Dans le cas particulier, Me Chiari n’a pas été autorisée à procéder au titre de l’assistance judiciaire – respectivement, à se substituer à Me Brandt – dans le cadre de la présente affaire. Partant, l’activité qu’elle a déployée ne devrait pas être indemnisée conformément à la jurisprudence précitée. Il convient exceptionnellement de la prendre en considération, au vu de sa prise en charge du dossier au stade de la procédure administrative, alors qu’elle était encore avocate-stagiaire de l’étude. Il est cependant signifié qu’en l’absence d’autorisation judiciaire préalable, les opérations déléguées par le conseil d’office à un autre avocat titulaire d’un brevet, qu’il soit collaborateur, associé ou simple confrère, ne seront plus indemnisées, sous réserve de circonstances particulières. Les opérations comptabilisées entrant dans le champ temporel et matériel du mandat, l’activité de Me Brandt peut en définitive être arrêtée à 6 heures et 25 minutes au tarif horaire de 180 fr. (art. 2 al. 1, let. a et b, RAJ [règlement cantonal vaudois du 7 décembre 2010 sur l'assistance judiciaire civile ; BLV 211.02.3]), à quoi s'ajoutent des débours à concurrence de 57 fr. 75 et la TVA au taux de 7,7%, ce qui représente un montant total de 1’306 fr. 15 pour l'ensemble des opérations assumées dans la présente cause. Cette rémunération est provisoirement supportée par le canton, dont la subrogation demeure réservée (cf. art. 122 al. 2 in fine CPC, également applicable sur renvoi). La recourante est rendu attentive au fait qu'elle est tenu de rembourser la somme de 1’306 fr. 15 dès qu'elle sera en mesure de le faire en vertu de l’art. 123 al. 1 CPC précité. Il incombera au Service juridique et législatif de fixer les modalités de ce remboursement (cf.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