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ZD20.002498 vom 3. September 2021</w:t>
      </w:r>
    </w:p>
    <w:p>
      <w:r>
        <w:t>VD Tribunal cantonal, 2021-09-03, FR</w:t>
      </w:r>
    </w:p>
    <w:p>
      <w:r>
        <w:rPr>
          <w:b/>
        </w:rPr>
        <w:t xml:space="preserve">Quelle: </w:t>
      </w:r>
      <w:r>
        <w:t>https://mcp.opencaselaw.ch/entscheid/vd_gerichte_ZD20.002498</w:t>
      </w:r>
    </w:p>
    <w:p>
      <w:r>
        <w:t>FR: VD_GERICHTE ZD20.002498 du 3 septembre 2021</w:t>
      </w:r>
    </w:p>
    <w:p>
      <w:r>
        <w:t>IT: VD_GERICHTE ZD20.002498 del 3 settembre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- 8 -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prestations de l’assurance-invalidité.</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- 9 - moins 40 % en moyenne durant une année sans interruption notable et si, au terme de cette année, il est invalide à 40 % au moins (art. 28 al. 1 LAI).</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t>- 10 -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9C_876/2009 du 6 juillet 2010 consid. 2.2). c/aa) Selon la jurisprudence récente, tant les affections psychosomatiques que toutes les affections psychiques doivent en principe faire l’objet d’une procédure probatoire structurée au sens de l’ATF 141 V 281 (ATF 143 V 418 consid. 6 et 7 et les références citées). bb) La preuve d’un trouble somatoforme douloureux, d’une affection psychosomatique assimilée ou d’un trouble psychique suppose,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w:t>
      </w:r>
    </w:p>
    <w:p>
      <w:r>
        <w:t>- 11 -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w:t>
      </w:r>
    </w:p>
    <w:p>
      <w:r>
        <w:t>- 12 - une atteinte à la santé assurée (ATF 141 V 281 consid. 4.4 et les références citées).</w:t>
      </w:r>
    </w:p>
    <w:p>
      <w:r>
        <w:rPr>
          <w:b/>
        </w:rPr>
        <w:t>E. 5</w:t>
      </w:r>
    </w:p>
    <w:p>
      <w:r>
        <w:t>a) En l’espèce, l’intimé s’est fondé sur le rapport d’expertise du Centre d'expertises N.________ du 27 novembre 2018 pour considérer que la recourante disposait d’une capacité de travail de 100% dans son activité habituelle. b/aa) Sur le plan somatique, les experts ont retenu le diagnostic de cervico-lombalgies dans le cadre d’un trouble somatoforme douloureux. On relèvera, à cet égard, que la hernie discale cervicale en C4-C5 a été découverte de manière fortuite, lors de l’IRM cervicale du 16 mars 2016 et, partant, décrite comme asymptomatique. Or une telle atteinte comprimerait la racine C5 qui s’est révélée normale. Le nerf cubital (ulnaire) mentionné dans plusieurs rapports médicaux dépend de la racine C7 qui émerge de l’espace C8-D1 et qui ne peut donc être concerné. L’atteinte du nerf cubital gauche ne peut qu’être mineure, dans la mesure où une compression de ce nerf affecte assez rapidement et précocement la musculature des muscles interosseux dorsaux de la main, en particulier le premier qui permet la pince index-pouce. Il serait donc difficile à la recourante de tricoter ou de broder au point de croix comme elle le rapporte, même chez une droitière. L’expert rhumatologue a en particulier mentionné que la seule anomalie qui pouvait être relevée était celle d’un ancien tassement de D7, vraisemblablement dans le cadre d’un accident dans l’enfance ainsi que des troubles dégénératifs mineurs tout à fait en rapport avec l’âge. Le tassement mentionné n’a en tout état de cause pas d’incidence sur la capacité de travail de la recourante. L’expert rhumatologue a observé quelques signes d’autolimitation à l’examen clinique et un testing contre résistance bien tenu ce qui était rassurant. Il a ainsi retenu que, sur le plan rhumatologique, il n’y avait pas d’incapacité de travail à retenir et que l’expertisée était à même de travailler dans son activité habituelle de femme de ménage, relevant qu’elle avait travaillé chez sept employeurs différents et que ces différents postes de travail lui permettaient d’avoir une activité variée, non répétitive où le port de</w:t>
      </w:r>
    </w:p>
    <w:p>
      <w:r>
        <w:t>- 13 - charges et les activités en porte-à-faux ne se répétaient pas toute la journée. bb) Sur le plan de la médecine interne, aucun diagnostic incapacitant n’a été mis en évidence. L’expert a tout de même relevé qu’il existait un véritable syndrome métabolique, avec obésité de classe 1, diabète et dyslipidémie, ainsi que l’existence de chiffres tensionnels à la limite haute et qu’une prise en charge par son médecin traitant de ces différentes pathologies était nécessaire. Il a également constaté une neuropathie cubitale gauche chronique mais dont l’expertisée s’était bien accommodée, ainsi qu’un syndrome d’apnées-hypopnées de type obstructif de degré moyen qui nécessitait la mise en place d’un appareillage CPAP [Continuous positive airway pressure, soit en français : ventilation en pression positive continue]. Ces diagnostics n’étaient toutefois pas invalidants. cc) En l’occurrence, force est de constater que les rapports d’expertise rhumatologique et de médecine interne remplissent les réquisits jurisprudentiels pour se voir accorder une pleine valeur probante. En effet, ils se fondent sur des examens cliniques complets, tiennent compte des plaintes de la recourante et ont été établis en pleine connaissance du dossier, les pièces médicales ayant été énumérées et résumées. Ils portent en outre une appréciation sur l’ensemble de la situation médicale de la recourante et comportent des conclusions bien motivées. c) Sur le plan psychiatrique, le diagnostic de syndrome douloureux somatoforme persistant (F45.4) depuis l’âge de 35 ans et d’agoraphobie sans trouble panique (F40.00) depuis plusieurs années ont été retenus. Ces diagnostics ont été posés dans les règles de l’art, conformément à la classification internationale des maladies (CIM). L’expert psychiatre a en particulier indiqué pour quelles raisons il s’écartait du diagnostic précédemment retenu par le Dr Q.________, en particulier s’agissant de l’épisode dépressif. En effet, les symptômes résiduels présents chez la recourante au jour de l’expertise étaient</w:t>
      </w:r>
    </w:p>
    <w:p>
      <w:r>
        <w:t>- 14 - insuffisants pour justifier un tel diagnostic et devaient être intégrés au diagnostic de syndrome douloureux somatoforme. Elle ne présentait par ailleurs pas de troubles anxieux hormis une agoraphobie de longue date mais stable qui ne la limitait pas dans son activité professionnelle habituelle, ni de troubles de la personnalité. Tout au plus, pouvait-on retenir une accentuation de certains traits de la personnalité dans le registre émotionnellement labile. L’expert a en outre expliqué que la recourante avait développé un syndrome douloureux somatoforme dès l’âge de 35 ans dans le contexte d’une situation psycho-sociale difficile en rapport avec des conflits conjugaux lors de son premier mariage et qu’il existait un sentiment de détresse, condition nécessaire au sens de la CIM-</w:t>
      </w:r>
    </w:p>
    <w:p>
      <w:r>
        <w:rPr>
          <w:b/>
        </w:rPr>
        <w:t>E. 10</w:t>
      </w:r>
    </w:p>
    <w:p>
      <w:r>
        <w:t>pour retenir un syndrome somatoforme douloureux. L’expert a estimé que le diagnostic retenu n’était pas source d’incapacité de travail. Il a également tenu compte de la personnalité de la recourante, a examiné ses ressources, les jugeant bonnes, tant au niveau personnel qu’externe, et s’est également prononcé sur la cohérence en ce sens qu’il a relevé un décalage entre l’absence de gravité des troubles psychiques dans le contexte d’un syndrome douloureux somatoforme et l’importance des limitations dans les activités de la vie quotidienne. Il y a ainsi lieu de constater que le rapport d’expertise du Dr X.________ remplit tous les réquisits de la jurisprudence applicable en matière de troubles somatoformes douleureux pour se voir reconnaître une pleine valeur probante. d) A cet égard, les différents avis des médecins consultés par la recourante ne suffisent pas à remettre en cause les conclusions auxquelles sont parvenus les experts, tant du point de vue somatique que psychiatrique, lesquelles ont été consignées dans un rapport d’évaluation consensuelle. En effet, le Dr T.________ a confirmé la présence d’une neuropathie cubitale positionnelle bilatérale sans répercussion sur la capacité de travail (cf. rapport du 5 juillet 2019), diagnostic qui a été pris en compte dans l’expertise du Centre d'expertises N.________. Dans son rapport du 19 août 2019, il a fait état d’une péri-arthropathie des hanches</w:t>
      </w:r>
    </w:p>
    <w:p>
      <w:r>
        <w:t>- 15 - avec pseudo sciatalgies bilatérale avec une examen électrophysiologique normal, sans atteinte neurologique « sans déficit sensitif et sans déficit moteur ». On ne peut ainsi rien tirer de ces deux rapports. La Dre J.________, médecin-traitant, a, pour sa part, mentionné des fibromes utérins symptomatiques avec carence en fer sur métrorragie depuis septembre 2019 (cf. rapport du 26 septembre 2019). A cet égard, la Dre R.________ du SMR a relevé que ces problèmes de santé n’engendraient habituellement pas de limitations fonctionnelles durables avec un traitement conservateur et/ou chirurgical. La Dr J.________ a également fait état d’une neuropathie cubitale bilatérale qui, selon elle, limitait les activités fonctionnelles, sans apporter plus de précisions. Quant à la péri-arthropathie des hanches avec pseudo sciatalgies bilatérales, elle entrait dans le cadre du syndrome douloureux somatoforme considéré comme étant non invalidant par les experts du Centre d'expertises N.________. Le rapport d’IRM lombaire réalisée le 17 mai 2019, produit avec le rapport de la Dre J.________, montrait des discopathies cervico-dorso- lombaire et un tassement ancien en D7, déjà décrits dans une IRM cervico- dorso-lombaire du 13 novembre 2017 et pris en compte dans le rapport d’expertise du Centre d'expertises N.________. Il ne figure en outre aucune comparaison des images de l’IRM du 17 mai 2019 avec le bilan antérieur, si bien que l’on ne peut rien non plus déduire de ce document. Le Dr C.________ n’a pas non plus amené d’élément médical objectif nouveau dans son rapport du 11 octobre 2019, où il a repris tout l’historique médical de la recourante et s’est limité à évoquer les diverses démarches (stimulation magnétique transcrânienne, infiltrations péridurales, traitement de TENS [Electrical Nerve Stimulation, soit, en français : neurostimulation électrique transcutanée] effectuée par la recourante. Dans le cadre du recours, la recourante a produit de nouveaux rapports médicaux du DrC.________ (cf. rapports des 15 mai 2020, 27 mai 2020 et 12 août 2020). Dans celui du 15 mai 2020, ce médecin a décrit le plan de prise en charge thérapeutique, fait état de douleurs thoraciques en lien avec des remaniements de type Modic II et s’est référé à une IRM dont le rapport n’a pas été joint. Dans le rapport du 27 mai 2020, le Dr</w:t>
      </w:r>
    </w:p>
    <w:p>
      <w:r>
        <w:t>- 16 - C.________ a relaté le protocole d’une injection épidurale effectuée au niveau thoracique qui avait soulagé la patiente déjà quelques minutes après l’injection. Enfin, dans le rapport du 12 aout 2020, il a repris les éléments invoqués dans son précédent rapport du 11 octobre 2019, sans toutefois amener d’éléments médicaux objectifs nouveaux. Le Dr Q.________, psychiatre-traitant, n’a pas non plus fait état d’éléments médicaux qui auraient été ignorés des experts du Centre d'expertises N.________ (cf. rapport du 21 novembre 2019). Il a procédé à une appréciation différente d’un même état de fait médical, impropre à remettre en cause les conclusions du rapport d’expertise du Centre d'expertises N.________. En outre, on observe certaines contradictions dans le rapport du Dr Q.________ lorsqu’il mentionne par exemple que la patiente ne peut plus marcher depuis l’âge de 35 ans alors qu’elle a travaillé comme femme de ménage jusqu’en 2016 et promène son chien une heure dans la nature selon le rapport d’expertise du Centre d'expertises N.________. Le rapport d’oeso-gastro-duodenoscopie daté du 14 août 2020, produit par la recourante dans le cadre du recours, a mis en évidence la présence d’une hernie hiatale qui, selon la Dre R.________ du SMR, n’engendrait habituellement pas de limitations fonctionnelles avec un traitement médicamenteux. La recourante a encore produit un rapport en portugais de densitométrie osseuse du 4 août 2020, concluant à des valeurs dans les limites de la norme. Quant au rapport, également en Portugais, de scintigraphie osseuse du 31 juillet 2020, il a fait état d’atteintes déjà connues et mentionnées dans le rapport d’expertise du Centre d’expertises N._______, tout en décrivant un squelette sans altération significative. L’experte rhumatologue a en particulier relevé, à l’examen clinique des membres supérieurs, des douleurs aux coudes à la palpation des épicondyles et épitrochlées des deux côtés, prédominant à gauche, provoquant de ce côté-ci des dysesthésies des deux derniers doigts de la main gauche, sans qu’il y ait présence de synovite ou de bursite. Elle a en</w:t>
      </w:r>
    </w:p>
    <w:p>
      <w:r>
        <w:t>- 17 - outre constaté, à l’examen neurologique, un bon tonus aux quatre membres, une bonne force aux quatre membres et, notamment, à la main gauche, à part une discrète diminution au touché-piqué des deux derniers doigts de cette main ainsi qu’une bonne sensibilité aux quatre membres. Quant à l’expert praticien, il a indiqué que l’expertisée se plaignait d’un engourdissement de la partie cubitale de la main gauche mais que cette affection ne l’empêchait pas de vivre correctement, ni d’utiliser cette main de façon adéquate. Enfin, dans un rapport du 14 mai 2020, le Prof. F.________, a indiqué que la consultation avait consisté en un dialogue et des explications sur la maladie de la patiente et ses traitements actuels, si bien que ce rapport n’apporte aucun élément médical nouveau et ne permet pas de remettre en cause les conclusions des experts du Centre d'expertises N.________. On relèvera encore que les deux ordonnances d’aide au ménage, datées des 29 septembre 2019 et 13 janvier 2020 émanant des médecins-traitants de la recourante ne sont pas déterminantes pour se prononcer sur son état de santé au regard de l’AI et, partant, sur sa capacité de travail. D’ailleurs, la contribution à l’aide au ménage est octroyée par l’assurance complémentaire des soins pour une durée limitée sur la base d’un simple certificat médical, étant précisé qu’au-delà de cette durée, un rapport médical doit être soumis à l’examen du service médical de l’assureur concerné pour déterminer si la poursuite de la prise en charge de l’aide en question est nécessaire (cf. décision du 30 décembre 2019 de G.________SA). Les documents produits par la recourante n’apportent dès lors rien de plus du point de vue médical et sont insuffisants pour remettre en cause les conclusions des experts qui ont procédé à une analyse fouillée et à une appréciation globale de la situation médicale de la recourante. d) En conclusion, le rapport d’expertise du Centre d'expertises N.________ du 27 novembre 2018 ayant pleine valeur probante, il faut retenir, avec l’intimé, que la recourante dispose d’une pleine capacité de</w:t>
      </w:r>
    </w:p>
    <w:p>
      <w:r>
        <w:t>- 18 - travail dans son activité habituelle, si bien que le droit à des prestations n’est pas ouvert. 6.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En l’occurrence, le dossier comporte les éléments utiles permettant à la Cour de céans de statuer en pleine connaissance de cause, si bien qu’il n’y pas lieu de donner suite à la mesure d’instruction (mise en œuvre d’une nouvelle expertise) requise par la recourante. 7. a) En définitive, le recours doit être rejeté et la décision entreprise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