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ZD20.001687 vom 8. Oktober 2020</w:t>
      </w:r>
    </w:p>
    <w:p>
      <w:r>
        <w:t>VD Tribunal cantonal, 2020-10-08, FR</w:t>
      </w:r>
    </w:p>
    <w:p>
      <w:r>
        <w:rPr>
          <w:b/>
        </w:rPr>
        <w:t xml:space="preserve">Quelle: </w:t>
      </w:r>
      <w:r>
        <w:t>https://mcp.opencaselaw.ch/entscheid/vd_gerichte_ZD20.001687</w:t>
      </w:r>
    </w:p>
    <w:p>
      <w:r>
        <w:t>FR: VD_GERICHTE ZD20.001687 du 8 octobre 2020</w:t>
      </w:r>
    </w:p>
    <w:p>
      <w:r>
        <w:t>IT: VD_GERICHTE ZD20.001687 del 8 ottobre 2020</w:t>
      </w:r>
    </w:p>
    <w:p>
      <w:pPr>
        <w:pStyle w:val="Heading2"/>
      </w:pPr>
      <w:r>
        <w:t>Erwägungen</w:t>
      </w:r>
    </w:p>
    <w:p>
      <w:r>
        <w:rPr>
          <w:b/>
        </w:rPr>
        <w:t>E. 4</w:t>
      </w:r>
    </w:p>
    <w:p>
      <w:r>
        <w:t>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w:t>
      </w:r>
    </w:p>
    <w:p>
      <w:r>
        <w:t>- 17 -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w:t>
      </w:r>
    </w:p>
    <w:p>
      <w:r>
        <w:t>a) En l’espèce, il convient dans un premier temps de déterminer la nature de la décision rendue le 12 décembre 2019 par l’intimé, singulièrement de trancher le point de savoir si cette décision doit être appréhendée à l’aune des principes régissant le refus d’entrer en matière sur une nouvelle demande ou si elle s’inscrit au contraire dans le cadre d’un refus de prestations sur la base d’un examen au fond. A cet égard, contrairement à la position que semble adopter l’OAI dans sa réponse du 3 mars 2020, on ne saurait s’arrêter à la dénomination formelle de la décision attaquée, ni aux termes employés par celle-ci. Les décisions de l'administration ne doivent en effet pas être interprétées de manière littérale, mais selon leur sens véritable, conformément à leur signification juridique concrète (ATF 120 V 496 consid. 1a). Peu importe, dès lors, que la décision du 12 décembre 2019 porte sur un « [r]efus de rente d’invalidité et de mesures professionnelles » et se réfère à l’instruction de la nouvelle demande déposée le 12 [recte : 9] juin 2019 pour en déduire l’absence d’aggravation de l’état de santé dans le contexte d’une appréciation différente d’un même état de fait. Ces seuls éléments ne sauraient faire oublier que le recourant a uniquement produit des certificats d'incapacité de travail – étant souligné que c’est de toute évidence à la suite d’une erreur que l’OAI a indexé, parmi ces pièces, un certificat du Dr H.________ se rapportant à la situation d’un tiers – à l'appui de sa nouvelle demande, de telle sorte que l'administration lui a imparti un délai pour rendre plausible l'aggravation de son état de santé. C’est ainsi que, le 25 juin 2019, le Dr K.________ a adressé à l’OAI un rapport avec annexes et que, à</w:t>
      </w:r>
    </w:p>
    <w:p>
      <w:r>
        <w:t>- 18 - cette même date, le Dr Z.________ a lui aussi établi un compte-rendu. Pour sa part, l'intimé s'est contenté, à réception de ces pièces, de demander l'avis du SMR. Ces démarches ne signifient cependant pas encore que l'administration est entrée en matière sur la nouvelle demande du recourant. En effet, même s'il appartient à l'assuré qui introduit une nouvelle demande de rendre plausible que son invalidité s'est modifiée (ATF 130 V 64 consid. 5.2.5), l'OAI reste libre de prendre lui-même des mesures limitées pour clarifier la situation, sans qu'on puisse déjà en déduire qu'il est entré en matière sur cette demande. Il peut ainsi, comme en l'espèce, obtenir l'avis d'un médecin du SMR (TF 9C_789/2012 du 27 juillet 2013 consid. 3) ou par exemple, lorsque la demande repose sur un simple certificat du médecin traitant, s'adresser à ce médecin pour obtenir un rapport complet (TF 8C_844/2012 du 5 juin 2013 consid. 2.1 et les arrêts cités). Il suit de là que, dans le cas particulier, l’OAI s’est indéniablement limité à l'examen des conditions d'entrée en matière – ainsi que cela ressort, du reste, du libellé du mandat SMR établi le 27 juin 2019 et de l’avis subséquent du Dr A.________ du 31 octobre 2019 indiquant en particulier « l’entrée en matière ne se justifie pas » – et n'a pas débuté l'instruction de la nouvelle demande (voir dans ce sens TF 9C_472/2016 du 29 novembre 2016 consid. 4.2 ; voir également TFA I 522/03 du 4 mai 2004 consid. 3.2). La décision litigieuse doit par conséquent être analysée sous l’angle d’un refus d’entrer en matière sur la nouvelle demande de prestations introduite le 9 juin 2019. En d’autres termes, le pouvoir d'examen de la Cour de céans est donc limité au point de savoir si l’intéressé, dans ses démarches auprès de l’OAI jusqu’à la date de la décision attaquée, a établi de façon plausible que son invalidité s’était modifiée depuis la dernière décision entrée en force, rendue le 12 février 2018 par l’office intimé. b) Sur le plan somatique, il convient de préciser tout d’abord que l’on ne peut rien tirer des certificats d’arrêt de travail du Dr K.________ versés à l’appui de la nouvelle demande, en tant qu’ils déclarent le recourant inapte au travail sans aucun étayage concret.</w:t>
      </w:r>
    </w:p>
    <w:p>
      <w:r>
        <w:t>- 19 - Il apparaît par ailleurs que le rapport établi le 24 juin 2019 par les Drs R.________ et W.________ ne décrit aucune dégradation de l’état de santé de l’assuré mais évoque, bien au contraire, une situation essentiellement inchangée depuis les évaluations effectuées à la Clinique K.________ (cf. rapport du 18 mars 2016 p. 1 et 3 ss ; cf. rapport du 26 mai 2017 p. 1 et 3 ss) et par le Prof. P.________ (cf. rapport du 13 février 2017) – avec des diagnostics déjà connus et une clinique globalement similaire. Il n’y a donc là aucun élément d’aggravation. Bien plus, ce rapport souligne que la problématique psychosociale et assécurologique semble au premier plan, chez un patient également limité par la barrière de la langue dans la compréhension de sa maladie. Or, en tant qu'il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Cette composante ne saurait, dès lors, être prise en considération pour juger du caractère plausible d’une détérioration significative des troubles physiques du recourant. Finalement, le rapport du Dr K.________ du 25 juin 2019 ne contient pas non plus d’élément dans le sens d’une potentielle péjoration des atteintes somatiques. On y lit tout au plus que la situation reste très critique sur le plan ostéoarticulaire, avec un syndrome douloureux cervico- brachial droit et une impotence du membre supérieur droit. Cette situation était toutefois déjà connue lors de la procédure antérieure et avait, en particulier, été dûment analysée par les médecins de la Clinique K.________ dans leurs rapports des 18 mars 2016 (p. 3 ss) et 26 mai 2017 (p. 3 ss), ainsi que par le Prof. P.________ dans son rapport du 13 février 2017 (spéc. p. 2). Aucune notion de détérioration ne peut donc être retenue sur cette base. On doit par conséquent admettre que rien, sur le plan physique, ne permet de conclure à une aggravation plausible de l’état de santé du recourant.</w:t>
      </w:r>
    </w:p>
    <w:p>
      <w:r>
        <w:t>- 20 - c) Au niveau psychique, il y a lieu d’observer tout d’abord que le certificat d’arrêt de travail du 4 juin 2019 du Dr Z.________ n’a pas d’incidence dans le cas particulier, aucun raisonnement médical n’y étant développé. Pour le reste, il est vrai que le Dr Z.________ a diagnostiqué le 25 juin 2019 un syndrome dépressif sévère sans symptôme psychotique et un trouble de l’adaptation. Force est toutefois de constater que cette appréciation ne repose pas sur un raisonnement concret et objectif. D’une part, le Dr Z.________ a indiqué que la symptomatologie dépressive était certes survenue après la décision du 12 février 2018, soit plus précisément en mars 2019, qu’elle s’était aggravée selon les dires du patient et qu’elle était imputable aux douleurs de l’épaule droite, à l’éloignement d’avec les proches et à l’impossibilité de trouver un travail. Les trois éléments placés à l’origine de la symptomatologie étaient toutefois déjà connus au cours de la procédure antérieure et ne traduisent ainsi aucune évolution négative intervenue dans l’intervalle ; à cela s’ajoute que tant la séparation d’avec la famille que les difficultés à réintégrer le marché du travail relèvent de facteurs psychosociaux ou socioculturels qui n’ont pas à être intégrés dans l’évaluation des troubles incapacitants (cf. consid. 5b supra). Quant aux manifestations du trouble dépressif (perte de l’élan vital, asthénie, idées suicidaires scénarisées et troubles cognitifs), le Dr Z.________ s’est contenté d’en faire l’énumération sans développer les circonstances permettant d’en valider l’authenticité, si bien que ces éléments semblent tout au mieux reposer sur les dires – par définition subjectifs – du patient. Au final, l’éventualité d’une symptomatologie dépressive apparue en mars 2019 n’apparaît donc guère objectivée, pas plus que sa prétendue aggravation. D’autre part, si le Dr Z.________ a décrit une anxiété, des cauchemars et des flash-backs dans les mois et semaines ayant suivi l’accident du 19 mai 2015, il n’a pas pour autant fourni d’explication justifiant la reconnaissance à l’heure actuelle d’un diagnostic de trouble de l’adaptation. Au demeurant, c’est d’ailleurs avec circonspection qu’il y a lieu d’appréhender les difficultés alléguées dans les suites immédiates de l’accident, attendu que de telles plaintes</w:t>
      </w:r>
    </w:p>
    <w:p>
      <w:r>
        <w:t>- 21 - n’ont pas été émises au cours de la procédure antérieure et que les évaluations psychiatriques menées à la Clinique K.________ n’ont précédemment mis en évidence aucune symptomatologie du registre psychique ayant valeur de diagnostic (cf. rapport du 18 mars 2016 p. 3 s. et rapport du 26 mai 2017 p. 4). Dans ces conditions, les éléments mis en exergue par le Dr Z.________ n’apparaissent donc pas convaincants et ne permettent pas de tenir pour plausible une aggravation de l’état de santé au plan psychique. On ne saurait davantage s’arrêter sur le rapport du 25 juin 2019 du Dr K.________ en tant qu’il évoque une détérioration progressive de l’état psychologique du patient, avec des angoisses permanentes, des idées négatives et des insomnies. Ces assertions n’étant pas concrètement objectivées, elles ne peuvent être considérées comme des indices sérieux d’une potentielle aggravation. Il sied enfin de noter que dans leur rapport du 24 juin 2019, les médecins du Centre hospitalier D.________ – dont l’appréciation est pourtant contemporaine de celle des Drs K.________ et Z.________ – n’ont décelé qu’un simple abaissement de la thymie et non une symptomatologie évocatrice d’une dépression. Du reste, si une dysthymie (F34.1) peut certes être susceptible d'entraîner une diminution de la capacité de travail lorsqu'elle se présente avec d'autres affections, à l'instar d'un grave trouble de la personnalité (ATF 143 V 418 consid. 8.1 ; TF 9C_585/2019 du 3 juin 2020 consid. 4.1 et TF 9C_146/2015 du 19 janvier 2016 consid. 3.2 avec les références), tel n’est à l’évidence pas le cas en l’occurrence, à l’égard d’un assuré ne présentant objectivement aucune atteinte majeure à la santé et dont l’examen a du reste montré de nombreuses incohérences et des facteurs extra-médicaux de mauvais pronostic (cf. rapports d’examen du Dr V.________ des 6 janvier 2016 p. 3,</w:t>
      </w:r>
    </w:p>
    <w:p>
      <w:r>
        <w:rPr>
          <w:b/>
        </w:rPr>
        <w:t>E. 7</w:t>
      </w:r>
    </w:p>
    <w:p>
      <w:r>
        <w:t>novembre 2016 p. 4, 14 mars 2017 p. 5 et 3 juillet 2017 p. 5 s. ; cf. rapports de la Clinique K.________ des 18 mars 2018 p. 4 et 26 mai 2017 p. 5 ; cf. rapport du Prof. P.________ du 13 février 2017 p. 2).</w:t>
      </w:r>
    </w:p>
    <w:p>
      <w:r>
        <w:t>- 22 - Partant, on ne distingue aucun élément concret dans le sens d’une potentielle détérioration de l’état de santé psychique. d) A la lumière de ce qui précède, il y a lieu de retenir que le recourant n'a pas établi de façon plausible une aggravation de son état de santé depuis la dernière décision de refus de prestations entrée en force. Sa nouvelle demande de prestations déposée le 9 juin 2019 ne pouvait donc que se voir opposer un refus d’entrer en matière – ce à quoi équivaut, en définitive, la décision querellée. Tout au plus ajoutera-t-on que c’est par le biais d’un recours contre la décision du 12 février 2018 que l’assuré aurait dû contester le refus de mesure de reclassement expressément signifié dans cette décision. En effet, les motifs d'une décision de rente entrée en force ne peuvent pas faire l'objet d'un réexamen dans le cadre d'une procédure de révision ou de nouvelle demande ; il n'y a pas lieu de revenir sur lesdits motifs, à moins que l'on ne soit en présence d'un nouveau cas d'assurance (cf. ATF 136 V 369 consid. 3.1 ; cf. TF 9C_920/2010 du 18 octobre 2011 consid. 2.2), ce qui n’est pas le cas en l’espèce. On relèvera, au surplus, que le recourant a précédemment été mis au bénéfice d’une mesure d’aide au placement qu’il a toutefois mise en échec de par son manque de collaboration et son absence de réaction à la sommation du 13 juillet 2018.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w:t>
      </w:r>
    </w:p>
    <w:p>
      <w:r>
        <w:t>- 23 - Il n’y a pas lieu d’allouer de dépens, le recourant, au demeurant non représenté par un mandataire qualifié, n’obtenant pas gain de cause (cf. art. 55 al. 1 LPA-VD et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