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ZD20.000373 vom 15. Dezember 2020</w:t>
      </w:r>
    </w:p>
    <w:p>
      <w:r>
        <w:t>VD Tribunal cantonal, 2020-12-15, FR</w:t>
      </w:r>
    </w:p>
    <w:p>
      <w:r>
        <w:rPr>
          <w:b/>
        </w:rPr>
        <w:t xml:space="preserve">Quelle: </w:t>
      </w:r>
      <w:r>
        <w:t>https://mcp.opencaselaw.ch/entscheid/vd_gerichte_ZD20.000373</w:t>
      </w:r>
    </w:p>
    <w:p>
      <w:r>
        <w:t>FR: VD_GERICHTE ZD20.000373 du 15 décembre 2020</w:t>
      </w:r>
    </w:p>
    <w:p>
      <w:r>
        <w:t>IT: VD_GERICHTE ZD20.000373 del 15 dicembre 2020</w:t>
      </w:r>
    </w:p>
    <w:p>
      <w:pPr>
        <w:pStyle w:val="Heading2"/>
      </w:pPr>
      <w:r>
        <w:t>Erwägungen</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28 al. 1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(al. 2).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w:t>
      </w:r>
    </w:p>
    <w:p>
      <w:r>
        <w:t>- 28 -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w:t>
      </w:r>
    </w:p>
    <w:p>
      <w:r>
        <w:rPr>
          <w:b/>
        </w:rPr>
        <w:t>E. 8</w:t>
      </w:r>
    </w:p>
    <w:p>
      <w:r>
        <w:t>Pour le surplus, il n’est pas contesté que la recourante a présenté une nouvelle atteinte oncologique, sous forme de cancer du sein droit, diagnostiqué en juillet 2020, qui requiert une prise en charge pour traitement. Cette atteinte étant toutefois postérieure à la décision attaquée, elle doit faire l’objet d’une nouvelle demande, que la recourante a au demeurant déposée le 7 septembre 2020. Il en va de même de l’atteinte au niveau du genou droit, également postérieure à la décision du 19 novembre 2019 (cf. rapport du 23 juillet 2020 de la Dre C.________, rapport d’IRM du 1er juillet 2020 et rapport de la Dre DD.______ du 29 novembre 2020).</w:t>
      </w:r>
    </w:p>
    <w:p>
      <w:r>
        <w:rPr>
          <w:b/>
        </w:rPr>
        <w:t>E. 9</w:t>
      </w:r>
    </w:p>
    <w:p>
      <w:r>
        <w:t>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être mis à la charge de la recourante, qui succombe (art. 69 al. 1bis LAI ; art. 49 al. 1 LPA-VD). Toutefois, dès lors que cette dernière a été mise au bénéfice de l’assistance judiciaire, ces frais sont provisoirement laissés à la charge de</w:t>
      </w:r>
    </w:p>
    <w:p>
      <w:r>
        <w:t>- 46 - l’Etat (art. 122 al. 1 let. a et b CPC [code fédéral de procédure civile du 19 décembre 2008 ; RS 272], applicable par renvoi de l’art. 18 al. 5 LPA-VD). b) N’obtenant pas gain de cause, la recourante, bien qu’assistée d’un mandataire professionnel, n’a pas droit à des dépens (art. 61 let. g LPGA). c) La recourante bénéficie, au titre de l’assistance judiciaire, de la commission d’office d’un avocat en la personne de Me Valentin Marmillod. Me Marmillod a produit la liste de ses opérations le 8 décembre 2020. Celle-ci totalise 46.80 heures d’avocat et 18.65 heures d’avocat-stagiaire, soit 65.45 heures, pour la période du 22 novembre 2019 au 8 décembre 2020. Certes, le dossier de la recourante présente une certaine difficulté. Il comporte en particulier de nombreuses pièces. Toutefois, le nombre d’heures facturé ne peut être entièrement admis. En particulier, ce sont 30.6 heures d’avocat et 4.8 heures d’avocats-stagiaires qui ont été facturées pour la seule rédaction du recours. Or, si cette écriture comporte 21 pages, près d’un tiers de celles- ci consiste en un résumé de faits. A cela s’ajoute qu’un arrêt de renvoi très étayé a été rendu le 13 juin 2017 par la Cour des assurances sociales, lequel a pu servir à la rédaction du recours. Les pièces de cette procédure précédente permettent au demeurant de constater que Me Marmillod signait déjà à l’époque des écritures pour le compte de la recourante ; il avait ainsi une bonne connaissance préalable du dossier. Les pièces venues s’ajouter au dossier de la recourante depuis l’arrêt de renvoi du</w:t>
      </w:r>
    </w:p>
    <w:p>
      <w:r>
        <w:rPr>
          <w:b/>
        </w:rPr>
        <w:t>E. 13</w:t>
      </w:r>
    </w:p>
    <w:p>
      <w:r>
        <w:t>juin 2017 sont, pour l’essentiel, le rapport d’expertise du CC.________ et son complément, ainsi que des avis du SMR. Les autres éléments médicaux émanent de la recourante. En regard de l’entier du dossier de la recourante, ces éléments ne représentent pas un nombre de pièces supplémentaires très important. Ainsi, compte tenu de la nature et de la complexité de l’affaire, la durée annoncée, en particulier pour la rédaction du recours, paraît très excessive. De même, s’il incombe au conseil de</w:t>
      </w:r>
    </w:p>
    <w:p>
      <w:r>
        <w:t>- 47 - réunir des éléments, en l’occurrence médicaux, de nature à démontrer ses allégations, on constatera que l’avocat d’office ne s’est pas limité à demander, par écrit, un rapport aux médecins qui suivent la recourante, mais s’est adressé à eux, à réitérées reprises, par téléphone et par courriel. Ainsi, l’avocat d’office, respectivement des avocats-stagiaires, se sont adressés par courriel à la Dre V.________ les 4, 20 et 24 février 2020,</w:t>
      </w:r>
    </w:p>
    <w:p>
      <w:r>
        <w:rPr>
          <w:b/>
        </w:rPr>
        <w:t>E. 17</w:t>
      </w:r>
    </w:p>
    <w:p>
      <w:r>
        <w:t>et 31 mars 2020, 4 et 25 mai 2020 ; en outre, ils ont appelé la Dre V.________ les 19 mai 2020, 11 juin 2020, 3 et 13 juillet 2020 et le 7 septembre 2020. De plus, 8.2 heures ont été facturées pour la réplique, qui consiste en une correspondance de quatre pages, laquelle résume des rapports médicaux et informe de l’état de la recourante. Certes, c’est un avocat-stagiaire qui a facturé la majorité des heures y relatives. Il n’en demeure pas moins que, là encore, le temps consacré est excessif. Dans ces conditions, il convient de réduire à 45 heures le temps nécessaire à l’exécution du mandat confié, en retenant qu’un cinquième de ces heures, soit 9 heures, a été effectué par des avocats- stagiaires. Ainsi au tarif horaire de 180 fr. pour l’avocat, respectivement de 110 fr. pour l’avocat-stagiaire (art. 2 al. 1 let. a et b RAJ [règlement cantonal vaudois du 7 décembre 2010 sur l’assistance judiciaire en matière civile ; BLV 211.02.3]), l’indemnité d’office s’élève à 7'470 fr. [(180 fr. x 36 h = 6'480) + (110 fr. x 9 h = 990)], à laquelle s’ajoutent les débours fixés forfaitairement à 373 fr. 50 (art. 3bis al. 1 RAJ) et la TVA au taux de 7,7 % par 575 fr. 20. L’indemnité d’office en faveur de Me Valentin Marmillod s’élève par conséquent à 8'418 fr. 70, arrondie à 8'419 francs. d) La recourante est rendue attentive au fait qu’elle devra rembourser les frais judiciaires et l’indemnité du conseil d’office dès qu’elle sera en mesure de le faire (art. 123 al. 1 CPC, applicable par renvoi de l’art. 18 al. 5 LPA-VD). Il incombera au Service juridique et législatif d’en fixer les modalités (art. 5 RAJ).</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