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ZD19.052591 vom 20. Juli 2021</w:t>
      </w:r>
    </w:p>
    <w:p>
      <w:r>
        <w:t>VD Tribunal cantonal, 2021-07-20, FR</w:t>
      </w:r>
    </w:p>
    <w:p>
      <w:r>
        <w:rPr>
          <w:b/>
        </w:rPr>
        <w:t xml:space="preserve">Quelle: </w:t>
      </w:r>
      <w:r>
        <w:t>https://mcp.opencaselaw.ch/entscheid/vd_gerichte_ZD19.052591</w:t>
      </w:r>
    </w:p>
    <w:p>
      <w:r>
        <w:t>FR: VD_GERICHTE ZD19.052591 du 20 juillet 2021</w:t>
      </w:r>
    </w:p>
    <w:p>
      <w:r>
        <w:t>IT: VD_GERICHTE ZD19.052591 del 20 luglio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des prestations de l’assurance-invalidité, singulièrement son droit à une rente au-delà du 28 février 2017.</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- 22 -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- 23 - d) En particulier, une décision qui simultanément accorde une rente avec effet rétroactif et en prévoit l’augmentation, la réduction ou la suppression, respectivement octroie une rente pour une durée limitée, correspond à une décision de révision selon l’art. 17 LPGA (ATF 131 V 164 consid. 2.2 ; 130 V 343 consid. 3.5 ; 125 V 413 consid. 2d). e) A teneur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w:t>
      </w:r>
    </w:p>
    <w:p>
      <w:r>
        <w:rPr>
          <w:b/>
        </w:rPr>
        <w:t>E. 4</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w:t>
      </w:r>
    </w:p>
    <w:p>
      <w:r>
        <w:t>- 24 -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 9C_722/2014 du 29 avril 2015 consid. 4.1).</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w:t>
      </w:r>
    </w:p>
    <w:p>
      <w:r>
        <w:t>- 25 -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w:t>
      </w:r>
    </w:p>
    <w:p>
      <w:r>
        <w:t>- 26 -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l’espèce, l’intimé est entré en matière sur la seconde demande de prestations AI déposée par la recourante et a procédé à une instruction en requérant notamment des avis auprès de ses médecins traitants et en ordonnant deux expertises. Il convient d'examiner si, entre la dernière décision entrée en force du 3 mai 2012 et la décision litigieuse du 18 octobre 2019, l’état de santé de l’intéressée s’est modifié de façon à influencer son droit à des prestations AI. b) Sur le plan psychique, l’OAI n’a pas retenu d’atteintes incapacitantes dans sa décision du 3 mai 2012. Les rapports subséquents du Dr M.________ ne mettent pas en évidence d’éléments d’aggravation depuis lors. Il considère au contraire dans son rapport du 13 novembre 2015 que les atteintes psychiques de son ancienne patiente ne sont pas incapacitantes et, dans son rapport du 22 juin 2018, il ne se prononce pas sur la capacité de travail, suggérant la mise en œuvre d’une expertise</w:t>
      </w:r>
    </w:p>
    <w:p>
      <w:r>
        <w:t>- 27 - psychiatrique. Il n’y aurait d’ailleurs plus de suivi psychiatrique depuis le mois de novembre 2017, ce qui est a priori significatif de l’absence d’aggravation au-delà de cette date. L’expertise du Dr N.________ le confirme, ce praticien ne retenant pas d’atteinte psychique incapacitante. S’agissant de cette expertise, dont la vocation première était de vérifier l’hypothèse d’un trouble somatoforme douloureux, elle a pleine valeur probante au regard des critères jurisprudentiels (cf. consid. 5 supra). L’expertise est fondée sur les rapports médicaux au dossier, une anamnèse particulièrement détaillée, spontanée puis orientée, tant sur le plan médical, que familial, personnel, professionnel et social. Elle contient également les plaintes de la recourante et des informations relatives à ses activités quotidiennes. L’expert rapporte également ses observations s’agissant du comportement et de l’apparence de la recourante ainsi que ses constatations ressortant de l’examen clinique. L’expert a tout d’abord posé les diagnostics de majoration de symptômes physiques pour des raisons psychiques (F68.0) et d’accentuation de traits de la personnalité histrionique (Z73.1). Ce faisant, il a posé un diagnostic selon les règles de l’art, en se référant à la Classification internationale des maladies de l’Organisation mondiale de la Santé (CIM-10). Certes, ces diagnostics divergent de ceux posés par le Dr M.________. Il faut néanmoins rappeler que du point de vue de l’assurance-invalidité, ce n’est pas fondamentalement le diagnostic, mais l’effet d’une atteinte à la santé sur la capacité de travail qui est déterminant (cf. TF 9C_273/2018 du 28 juin 2018 consid. 4.2). Cela étant, les divergences entre l’expert et le Dr M.________ sont mineures. L’expert a écarté le diagnostic d’épisode dépressif majeur après avoir notamment constaté que l’expertisée donnait une description positive de sa personnalité, gardait l’espoir d’une amélioration de sa situation, surmontait ses plaintes pour mener une vie organisée en fonction de ses préférences, sans attitude morose ou pessimiste. Il explique de surcroît que les symptômes affectifs légers caractérisant l’un des diagnostics</w:t>
      </w:r>
    </w:p>
    <w:p>
      <w:r>
        <w:t>- 28 - retenus par le Dr M.________ constituent un phénomène d’accompagnement de la majoration de symptômes physiques pour des raisons psychologiques (rapport d’expertise du 14 novembre 2018, page 28, 2ème paragraphe). L’expert a relevé à cet égard que cela entraînait typiquement des moments de tristesse et de déception chez l’assurée. L’expert a également exclu le diagnostic de trouble de la personnalité retenu par le Dr M.________. Il a en particulier observé que l’assurée menait une vie autonome sans perturbation sévère de la constitution caractérologique persistant depuis l’adolescence (ibidem, page 29). L’expert a cependant indiqué que les particularités de fonctionnement de l’expertisée correspondaient à l’accentuation de traits de personnalité histrionique. En tout état de cause, il sied de préciser que le Tribunal fédéral a déjà été amené à constater que des traits de personnalité n'avaient en principe pas valeur de maladie psychiatrique (cf. p. ex. TF 9C_894/2015 du 25 avril 2016 consid. 5.1). L’expert a spécifié à ce titre que les plaintes de l’assurée contrastaient avec ses propres observations cliniques et l’absence de traitement antalgique. Enfin, selon l’expert, l’ensemble du tableau clinique était insuffisant pour retenir un syndrome douloureux somatoforme persistant. S’agissant du degré de gravité fonctionnel et des ressources, le constat d’une pleine capacité de travail n’est nullement critiquable, au vu des observations de l’expert figurant dans les rubriques anamnèse orientée, habitudes, vie sociale, vie quotidienne. Il apparaît en effet que l’assurée mène une vie autonome, gère seule ses finances et la tenue de son ménage. Elle décrit également ses journées de manière positive, se baladant en forêt, rencontrant des amis ou s’intéressant à la littérature, la peinture et certaines émissions de télévision. Elle réalise par ailleurs des exercices quotidiens d’ergothérapie pour sa main droite. On relèvera encore que l’assurée n’a plus de suivi psychiatrique depuis le mois de novembre 2017, que le suivi antérieur a été limité dans le temps et n’a pas donné lieu à une prescription de traitement antidépresseur de longue durée. L’expert a également décrit l’assurée comme quelqu’un de souriant et entrant en contact de manière joviale. Le Dr N.________ a enfin relevé que l’assurée avait participé activement à 5 heures d’examen, sans</w:t>
      </w:r>
    </w:p>
    <w:p>
      <w:r>
        <w:t>- 29 - montrer de signes de fatigue après des efforts minimes, ni de diminution majeure de l'attention ou de la concentration (rapport d’expertise du 14 novembre 2018, p. 27 in fine). Ces observations contredisent dès lors les critiques de la recourante quant au stress généré par l’expertise. Tous ces éléments plaident en outre en faveur d’un faible degré de gravité fonctionnel et de l’existence de ressources importantes chez l’assurée, permettant d’exclure tout caractère incapacitant aux diagnostics retenus. Les appréciations des Drs M.________ et N.________ se rejoignent ainsi quant à la capacité de travail de l’assurée, contrairement à ce qu’elle allègue. Les propos du psychiatre traitant s’agissant de la faible probabilité d’une reprise d’activité doivent en effet être replacés dans leur contexte : ce médecin lie l’incapacité de travail à l‘atteinte somatique et au contexte psycho-social qui, selon lui, joue un rôle prédominant. Or, les facteurs psycho-sociaux ne sont pas du ressort de l’assurance-invalidité (TF 9C_656/2017 du 26 mars 2018 consid. 5.3 ; TF 9C_700/2009 du 29 mars 2010 consid. 4.2.4.3). L’expert a par ailleurs procédé à une évaluation de l’évolution des traitements et discuté des chances de guérison, en particulier des mesures thérapeutiques à mettre en œuvre. L’expertise comprend enfin une évaluation de la cohérence et de la plausibilité. Le rapport d’expertise du Dr N.________ remplit tous les réquisits jurisprudentiels permettant de lui accorder une pleine valeur probante et aucun rapport médical contemporain ou postérieur ne permet d’en remettre en cause les conclusions s‘agissant de l’absence d’incapacité de travail inhérente aux troubles psychiques. c) Sur le plan somatique, l’intimé s’est fondé sur les constatations du Dr Q.________ figurant dans son rapport d’expertise du 22 mai 2018 et son complément du 20 décembre 2018, pour retenir que la recourante présentait à nouveau une pleine capacité de travail dans son activité habituelle à partir du 7 novembre 2016.</w:t>
      </w:r>
    </w:p>
    <w:p>
      <w:r>
        <w:t>- 30 - Du rapport d’expertise du 22 mai 2018 du Dr Q.________, il ressort que l’allégation de douleurs par la recourante, douleurs empirant de surcroît entre les deux examens cliniques, ne correspondait pas à ce qui était objectivement attendu dans les suites de l’arthrodèse, raison pour laquelle il a émis l’hypothèse d’un trouble somatoforme douloureux et préconisé la mise en œuvre d’une expertise psychiatrique. Il lui appartenait cependant de traiter la question essentielle qui lui était posée, savoir l’analyse de la capacité de travail sur le plan somatique ainsi que des limitations fonctionnelles sur la base des examens cliniques du membre supérieur droit ou sur la base des rapports de ses confrères figurant au dossier. En l’occurrence, le Dr Q.________ a d’abord conclu, dans son rapport d’expertise du 22 mai 2018, à une capacité de travail nulle de l’assurée pour ensuite revenir sur ses conclusions dans un complément du 20 décembre 2018, après communication d’extraits de l’expertise du Dr N.________, mais sans réexamen de la recourante, ni développement de son appréciation. En outre, il nie l’existence de limitations fonctionnelles tout en retenant une capacité de travail de 100 % dans les « activités exigibles ». Ce qualificatif présuppose en l’occurrence une activité adaptée, et par conséquent des limitations fonctionnelles. En présence d’un complément lacunaire, voire contradictoire, il aurait pu être attendu de l’OAI d’interpeller une seconde fois l’expert pour requérir les précisions nécessaires à la détermination de la capacité de travail. Cette abstention de l’OAI ne permet cependant pas à elle seule d’aboutir au constat d’une instruction lacunaire sans examiner au préalable si d’autres pièces médicales au dossier pourraient se voir reconnaître une pleine valeur probante. En l’occurrence, hormis l’examen radiographique du 29 mars 2018 et les certificats médicaux du Dr X.________ attestant sans discontinuer d’une incapacité de travail totale, n’ont été produits au dossier, en relation avec l’atteinte à l’index droit ou plus largement du membre supérieur droit depuis le 7 novembre 2016, que les avis du SMR. d) C’est le lieu de rappeler que les avis médicaux du SMR, de par leur nature, n’impliquent pas d’examen clinique. Ils ont seulement</w:t>
      </w:r>
    </w:p>
    <w:p>
      <w:r>
        <w:t>- 31 -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 En l’espèce, dans son avis du 23 janvier 2019, le Dr T.________ s’est fondé sur les observations cliniques de l’examen du 7 novembre 2016, en particulier sur l’examen ostéoarticulaire, pour arrêter le terme de l’incapacité de travail à cette date. Pour mémoire, lors de cet examen, la fonction de l’épaule droite était quasi complète et l’index droit présentait un aspect dystrophique depuis l’articulation IPP jusqu’à son extrémité, avec un enroulement incomplet. Il a conclu qu’il n’existait pas de données objectives justifiant la reconnaissance d’une quelconque incapacité de travail dans une « activité adaptée aux compétences de l’assurée ». Dans son avis subséquent du 21 mai 2019, le Dr T.________ considère que l’atteinte objective de l’index droit et de l’ensemble du membre supérieur droit doit être considérée comme modeste et relève les lacunes et contradictions de l’appréciation de la capacité de travail sur le plan somatique. f) En l’occurrence, il apparaît que lors de l’examen clinique du</w:t>
      </w:r>
    </w:p>
    <w:p>
      <w:r>
        <w:rPr>
          <w:b/>
        </w:rPr>
        <w:t>E. 7</w:t>
      </w:r>
    </w:p>
    <w:p>
      <w:r>
        <w:t>Cela étant, quand bien même les éléments font défaut pour apprécier l’évolution de l’atteinte à l’index droit et ses répercussions sur la capacité de travail de la recourante au-delà du 7 novembre 2016, une instruction médicale complémentaire ne s’impose pas, compte tenu de la</w:t>
      </w:r>
    </w:p>
    <w:p>
      <w:r>
        <w:t>- 33 - jurisprudence en matière de mesures de réadaptation, exposée ci- dessous.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Il arrive que l’octroi préalable de mesures de réadaptation constitue une condition sine qua non, d’un point de vue professionnel, à la valorisation économique de la capacité de travail (TF 9C_254/2011 du 15 novembre 2011 consid. 7). La jurisprudence considère ainsi qu’il existe des situations dans lesquelles, avant de réduire ou de supprimer une rente d’invalidité, y compris dans le cadre d’une décision d’octroi, à titre rétroactif, d’une rente limitée dans le temps (ATF 145 V 209),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w:t>
      </w:r>
    </w:p>
    <w:p>
      <w:r>
        <w:t>- 34 -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sous réserve de cas où l'assuré dispose d'emblée de capacités suffisantes lui permettant une réadaptation par soi- même (TF 8C_510/2020 du 15 avril 2021 consid. 5.2 et les références citées, TF 8C_582/2017 du 22 mars 2018 consid. 6.3 ; TF 9C_183/2015 du 19 août 2015 consid. 5), que ce n'est qu'à l'issue d'un examen concret de la situation de l'assuré et de la mise en œuvre d'éventuelles mesures de réadaptation sur le marché du travail que l'office 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du 22 mars 2018 consid. 6.4 ; TF 8C_446/2014 du 12 janvier 2015 consid. 4.2.4 non publié in ATF 141 V 5, mais dans SVR 2015 IV n° 19 p. 56 ; TF 9C_409/2012 du 11 septembre 2012 consid. 2.3, in SVR 2011 IV n° 73 p. 220). Demeure ouverte la question de savoir si la réalisation des critères (durée de 15 années d'allocation de la rente ou accomplissement de la 55e année) doit être examinée par rapport au moment du prononcé de la décision de suppression de la rente ou à celui à partir duquel cette prestation a été supprimée (ATF 145 V 209 consid. 5.4 ; 141 V 5; 138 V 457). Cette question peut néanmoins demeurer indécise dans le cas particulier. c) En effet, si la recourante a bénéficié d’une rente entière d’invalidité limitée dans le temps, elle avait déjà plus de 55 ans au 28 février 2017, date de la suppression de cette rente. Elle appartient ainsi à la catégorie d’assurés dont il convient de présumer qu’ils ne peuvent en principe pas entreprendre de leur propre chef tout ce que l’on peut raisonnablement attendre d’eux pour tirer profit de leur capacité résiduelle de travail, peu importe à cet égard qu’elle présente une</w:t>
      </w:r>
    </w:p>
    <w:p>
      <w:r>
        <w:t>- 35 - invalidité inférieure à 20 % (TF 9C_517/2016 du 7 mars 2017 consid. 5.1 et 5.2). d) Au vu des principes développés ci-avant, la recourante aurait pu prétendre à l’octroi de mesures de réadaptation. En l’occurrence, la recourante a déjà atteint l’âge légal de la retraite, ce qui implique qu’un pronostic soit rétroactivement posé sur les chances de succès de telles mesures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l’AI,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La recourante n’a plus exercé d’activité professionnelle depuis son licenciement au 1er avril 2013. Elle bénéficie de certificats médicaux constatant son incapacité de travail depuis le 11 février 2014. Elle était ainsi éloignée du monde professionnel depuis quasiment quatre ans à la date du 28 février 2017 et il ne ressort pas des pièces au dossier que la perspective d’un retour en emploi se serait présentée à elle. Objectivement, une réadaptation par soi-même n’aurait pas apparu exigible. Dans le cadre de la procédure de révision, l’OAI a envisagé l’octroi d’une mesure d’orientation professionnelle et a adressé à cet effet une communication à la recourante le 28 mai 2015, demeurée sans suite ensuite de la renonciation par l’intimé lui-même à la mise en œuvre de la mesure, en raison de l’état de santé de la recourante. Aucune mesure de réadaptation n’a été proposée ultérieurement à l’intéressée, ni préconisée</w:t>
      </w:r>
    </w:p>
    <w:p>
      <w:r>
        <w:t>- 36 - par les experts, de telle sorte qu’il ne peut être établi que son aptitude subjective à la réadaptation aurait fait défaut. e) Au vu de ce qui précède, il apparaît que quand bien même une pleine capacité de travail dans son activité habituelle ou dans une activité adaptée pourrait être reconnue à la recourante au-delà du 7 novembre 2016 à la faveur d’une instruction complémentaire, la reprise d’une activité professionnelle n’était pas exigible sans examen de la mise en œuvre préalable de mesures de réadaptation, en particulier d’une mesure d’orientation professionnelle, dont l’intimé ne saurait disconvenir de la nécessité compte tenu de sa communication du 28 mai 2015. En conséquence, il y a lieu de maintenir le droit de la recourante à une rente entière d’invalidité jusqu’au 18 octobre 2019, date de la décision entreprise qui définit le cadre temporel de l’examen du juge (cf. TF 9C_500/2011 du 26 mars 2012 consid. 4 et les références citées). Le dossier sera retourné à l’OAI pour qu’il se prononce sur le maintien du droit à la rente pour la période postérieure au 18 octobre 2019, étant souligné que la personne assurée cesse d'avoir droit à la rente d'invalidité dès qu'elle peut prétendre à la rente de vieillesse de l'AVS (cf. art. 30 LAI). f) La recourante conclut à l’octroi d’une rente entière dès le 11 février 2014. Si l’incapacité de travail a effectivement débuté à cette date, la demande de prestations a été déposée le 9 février 2015, avec pour corollaire que le droit au versement de la rente ne prend naissance que le 1er août 2015, soit à l’échéance du délai de 6 mois prévu par l’art. 29 al. 1 LAI.</w:t>
      </w:r>
    </w:p>
    <w:p>
      <w:r>
        <w:rPr>
          <w:b/>
        </w:rPr>
        <w:t>E. 8</w:t>
      </w:r>
    </w:p>
    <w:p>
      <w:r>
        <w:t>S’agissant du grief de violation du droit d’être entendu, il peut être renoncé à son examen, son éventuelle admission ne pouvant en l’espèce que contrevenir au principe de la simplicité de la procédure prévalant en droit des assurances sociales.</w:t>
      </w:r>
    </w:p>
    <w:p>
      <w:r>
        <w:t>- 37 -</w:t>
      </w:r>
    </w:p>
    <w:p>
      <w:r>
        <w:rPr>
          <w:b/>
        </w:rPr>
        <w:t>E. 9</w:t>
      </w:r>
    </w:p>
    <w:p>
      <w:r>
        <w:t>a) En définitive, le recours doit être partiellement admis et la décision attaquée réformée en ce sens que G.________ a droit à une rente entière d’invalidité du 1er août 2015 au 18 octobre 2019, la cause étant pour le surplus retournée à l’office afin qu’il statue sur le droit à la rente pour la période postérieure au 18 octobre 2019. b) La procédure de recours en matière de contestations portant sur l’octroi ou le refus de prestations de l’assurance-invalidité est soumise à des frais de justice (art. 69 al. 1bis LAI). En l’occurrence, les frais de justice doivent être fixés à 400 fr. et mis à la charge de l’OAI, qui succombe. c) Obtenant gain de cause avec l’assistance d’un mandataire qualifié,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