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ZD19.049881 vom 28. Mai 2020</w:t>
      </w:r>
    </w:p>
    <w:p>
      <w:r>
        <w:t>VD Tribunal cantonal, 2020-05-28, FR</w:t>
      </w:r>
    </w:p>
    <w:p>
      <w:r>
        <w:rPr>
          <w:b/>
        </w:rPr>
        <w:t xml:space="preserve">Quelle: </w:t>
      </w:r>
      <w:r>
        <w:t>https://mcp.opencaselaw.ch/entscheid/vd_gerichte_ZD19.049881</w:t>
      </w:r>
    </w:p>
    <w:p>
      <w:r>
        <w:t>FR: VD_GERICHTE ZD19.049881 du 28 mai 2020</w:t>
      </w:r>
    </w:p>
    <w:p>
      <w:r>
        <w:t>IT: VD_GERICHTE ZD19.049881 del 28 maggio 2020</w:t>
      </w:r>
    </w:p>
    <w:p>
      <w:pPr>
        <w:pStyle w:val="Heading2"/>
      </w:pPr>
      <w:r>
        <w:t>Volltext</w:t>
      </w:r>
    </w:p>
    <w:p>
      <w:r>
        <w:t>TRIBUNAL CANTONAL AI 373/19 - 178/2020 ZD19.049881 CO UR DE S ASSURANCES S OCIALES _____________________________________________ Arrêt du 28 mai 2020 _________________ Composition : M. PIGUET, président M. Neu et Mme Durussel, juges Greffier : M. Addor ***** Cause pendante entre : M.________, à Lausanne, recourante, et OFFICE DE L’ASSURANCE-INVALIDITE POUR LE CANTON DE VAUD, à Vevey, intimé. _______________ Art. 6 ss et 16 LPGA ; 4 al. 1 LAI 402</w:t>
      </w:r>
    </w:p>
    <w:p>
      <w:r>
        <w:t>- 2 - E n f a i t : A. Entrée en Suisse en 1991, M.________ (ci-après : l’assurée ou la recourante), ressortissante serbe, née en 1962, est au bénéfice d’une autorisation d’établissement (permis C). Dès 2007, elle a travaillé en qualité d’ouvrière pour le compte de la société Q.________ SA à V.________. L’employeur a résilié les rapports de travail pour le 31 mai 2013. Souffrant de diverses atteintes à la santé (diabète instable avec complications circulatoires aux membres inférieurs, troubles gastriques et du rachis lombaire ainsi que bronchite chronique), M.________ a déposé le 31 décembre 2014 une demande de prestations de l’assurance-invalidité. Dans le cadre de l’instruction de cette demande, l’Office de l’assurance-invalidité pour le canton de Vaud (ci-après : l’office AI ou l’intimé) a recueilli des renseignements médicaux auprès des Drs C.________, spécialiste en rhumatologie (rapport du 30 mars 2015) et J.________, médecin traitant (rapport du 20 avril 2015). Sur la base des informations reçues, la Dre T.________, médecin auprès du Service médical régional de l’assurance-invalidité (ci-après : le SMR), a retenu que le travail d’ouvrière en boucherie n’était plus exigible, l’assurée ne pouvant l’exercer qu’à un taux résiduel de 20-25 % ; en revanche, dans une activité adaptée, la capacité de travail pouvait atteindre 75 % moyennant une reprise progressive à un taux de 40-50 % et le respect des limitations fonctionnelles suivantes : pas de porte-à-faux, inclinaison ou torsion répétée du rachis, possibilité d’alterner les positions, pas de port de charges supérieures à 10 kg, éviter l’exposition au froid (avis médical du 6 août 2015). Réinterpellé par l’office AI, le Dr J.________ a posé les diagnostics suivants avec effet sur la capacité de travail : hypoacousie sévère bilatérale avec otalgies intermittentes, diabète sucré instable avec</w:t>
      </w:r>
    </w:p>
    <w:p>
      <w:r>
        <w:t>- 3 - début de complications ainsi que lombalgies, cervicalgies et cervico- brachialgies. Tout en indiquant que la capacité de travail était difficile à évaluer en raison de la fatigue, il a estimé qu’elle pouvait atteindre 20 à 40 % dans une activité adaptée (rapport du 7 octobre 2015). Invité à fournir des renseignements complémentaires, le Dr J.________ a posé les diagnostics suivants ayant une répercussion sur la capacité de travail : diabète de type II instable, hypoacousie sévère bilatérale avec otalgies intermittentes, importante surdité bilatérale avec un facteur de transmission, sciatalgies chroniques, polyneuropathie des membres inférieurs, insuffisance veineuse au détriment des veines petites saphènes et hypertension artérielle. Si la capacité de travail en tant qu’ouvrière d’usine était nulle depuis le mois de janvier 2014, elle était de 40 à 50 % dans une activité allégée et respectant les limitations fonctionnelles énoncées. Il a encore précisé que l’état de santé de l’intéressée ne s’était pas amélioré (rapport du 3 août 2016). Après avoir pris connaissance des éléments médicaux au dossier, la Dre T.________ a retenu qu’il n’y avait pas d’éléments cliniques objectifs fondant une atteinte psychiatrique (pas de consilium, pas de traitement psychotrope en cours, pas de suivi psychiatrique). Toutefois, compte tenu du caractère évolutif de l’atteinte ostéo-articulaire sur fond d’un diabète mal équilibré (refus de l’insuline), elle a chargé le SMR de procéder à un examen clinique rhumatologique (avis médical du 25 janvier 2017). Dans son rapport du 21 mars 2017, le Dr P.________, spécialiste en médecine physique et réadaptation, a posé le diagnostic – avec répercussion durable sur la capacité de travail – de lombalgies chroniques non déficitaires dans le cadre d’une discopathie prédominant en D9-D10, L3-L4 et L4-L5 (arthrose des articulations postérieures en L4-L5 et L5-S1), ainsi que ceux – sans répercussion sur la capacité de travail – d’arthrose débutante de l’articulation sacro-iliaque droite et d’arthrose légère du compartiment interne des deux genoux. Il a estimé que l’incapacité de travail était totale dans l’activité d’ouvrière chez Q.________ SA à partir du 1er février 2014 en raison des limitations pour le port de charges et la</w:t>
      </w:r>
    </w:p>
    <w:p>
      <w:r>
        <w:t>- 4 - position debout prolongée dans le cadre de l’atteinte dégénérative lombaire. En revanche, dans une activité peu sollicitante pour la colonne lombaire, il n’y avait pas de lésion significative justifiant une incapacité de travail pour autant que les limitations fonctionnelles suivantes soient respectées : pas de port de charges répétitif au-delà de 5 kg, pas de port de charges occasionnel au-delà de 10 kg, pas de posture en porte-à-faux lombaire, pas de mouvement répétitif de flexion-extension ou rotation lombaire, pas de position debout au-delà de 30 minutes. Par projet de décision du 24 octobre 2017, l’office AI a informé M.________ qu’il entendait lui refuser l’octroi d’une rente d’invalidité et de mesures professionnelles, motif pris qu’elle ne subissait pas de préjudice économique dans la mesure où le revenu d’invalide auquel elle pouvait raisonnablement prétendre était au moins aussi élevé que le revenu obtenu avant son atteinte à la santé. Le 7 novembre 2017, l’assurée a présenté des objections à ce projet. Outre les limitations imposées par ses maladies de l’appareil locomoteur, elle présentait d’autres pathologies incapacitantes, telles que des complications de son diabète avec des problèmes circulatoires périphériques, ophtalmologiques et neurologiques, lesquelles excluaient l’exercice d’une activité professionnelle même allégée à plus de 50 %. Dans un rapport du 10 décembre 2017 établi à la demande de l’assurée, le Dr J.________ a fait état d’une importante baisse de l’acuité visuelle notamment à gauche sur une rétinopathie diabétique avec œdème maculaire, d’une polyneuropathie diabétique avec troubles de l’équilibre, déficit sensitif des membres inférieurs, douleurs chroniques des membres inférieurs ainsi que d’une importante surdité bilatérale de transmission. D’après ce médecin, chacun de ces points était constitutif d’une incontestable aggravation du niveau d’incapacité. Il a joint à son rapport diverses annexes que l’assurée a transmises à l’office AI en date du 14 décembre 2017. Au vu des multiples atteintes somatiques et de leur caractère évolutif, en particulier le diabète, ses complications oculaires et</w:t>
      </w:r>
    </w:p>
    <w:p>
      <w:r>
        <w:t>- 5 - neurologiques ainsi que les affections musculo-squelettiques dégénératives dans un contexte de syndrome douloureux chronique persistant et de fragilité psychologique, la Dre R.________, médecin auprès du SMR, a préconisé la mise en œuvre d’une expertise pluridisciplinaire (médecine interne / diabétologie, rhumatologie, neurologie et psychiatrie ; avis médical du 28 février 2018). A cette fin, l’office AI a mandaté l’Unité d’expertises médicales de la Policlinique Médicale K.________. Les examens utiles ont été réalisés les 23 et 30 octobre, 14, 22 et 26 novembre ainsi que 18 décembre 2018 par les Drs S.________, spécialiste en médecine interne générale, Z.________, spécialiste en psychiatrie et psychothérapie, X.________, spécialiste en médecine interne générale et en rhumatologie, N.________, spécialiste en neurologie et A.________, spécialiste en ophtalmologie. Dans un rapport de synthèse du 5 février 2019 (appréciation générale interdisciplinaire), les experts ont conclu à l’absence de pathologie influençant la capacité de travail dans une activité légère, sans port de charges supérieures à 10-15 kg, sans mouvement en porte-à-faux du tronc et permettant l’alternance des positions. Ils ont par ailleurs relevé que la restriction du champ visuel en lien avec la rétinopathie excluait la conduite professionnelle ainsi que tout travail nécessitant une bonne vision périphérique. En outre, il convenait de favoriser des horaires réguliers en cas de mise en route d’une insulinothérapie. Dans un avis du 21 mai 2019, le SMR a fait siennes les conclusions des experts de la Policlinique Médicale K.________ et a retenu une capacité de travail entière dans une activité adaptée depuis 2014. Le 9 septembre 2019, le Dr J.________ a transmis à l’office AI un rapport établi le 25 juillet 2019 par l’Hôpital ophtalmique B.________, faisant état d’une rétinopathie diabétique non proliférative sévère bilatérale avec d’importants signes d’ischémie en périphérie. Ayant expliqué à l’assurée la possible progression et complication liée à sa maladie, les auteurs du rapport ont insisté sur l’importance de suivre une stricte surveillance de la glycémie et de la tension artérielle.</w:t>
      </w:r>
    </w:p>
    <w:p>
      <w:r>
        <w:t>- 6 - Sollicité pour détermination, le SMR a considéré qu’il n’y avait pas d’éléments cliniques suffisants et pertinents pour justifier une aggravation et / ou un changement de l’état de santé, compatible avec une incapacité de travail durable depuis l’expertise médicale pluridisciplinaire du 5 février 2019 ; il s’agissait d’une appréciation différente de la même situation (avis du 1er octobre 2019). Le 10 octobre 2019, l’office AI a rendu une décision aux termes de laquelle il entérinait son refus d’octroyer ses prestations (rente d’invalidité et mesures professionnelles). B. Par acte du 8 novembre 2019, M.________ a saisi la Cour des assurances sociales du Tribunal cantonal d’un recours contre cette décision. Elle a en substance fait valoir que son état de santé s’était péjoré depuis le projet de décision du 24 octobre 2017 et qu’un rapport médical serait ultérieurement produit aux fins d’étayer ses allégations. Dans sa réponse du 19 décembre 2019, l’office AI a conclu au rejet du recours compte tenu de l’absence d’éléments médicaux apportant un nouvel éclairage susceptible de conduire à un autre point de vue. En annexe à sa réplique du 15 janvier 2020, l’assurée a joint un rapport du Dr J.________ du 28 octobre 2019, dans lequel il concluait, après avoir énuméré diverses pathologies et limitations fonctionnelles présentées par sa patiente, à une capacité de travail nulle en toute activité. Dupliquant en date du 6 février 2020, l’office AI a relevé que le rapport du Dr J.________ ne contenait aucun élément lui permettant de s’écarter des conclusions de l’expertise réalisée à la Policlinique Médicale K.________, de sorte qu’il concluait une nouvelle fois au rejet du recours. Par courrier du 19 février 2020, l’assurée s’est prévalue d’une dégradation de son état de santé au cours des six mois précédents,</w:t>
      </w:r>
    </w:p>
    <w:p>
      <w:r>
        <w:t>- 7 - ajoutant qu’elle avait perdu deux dents en raison de son diabète. A l’appui de ses dires, elle a produit un rapport de l’Hôpital ophtalmique B.________ du 6 février 2020 établi à l’attention du Dr J.________. Il était fait mention de plusieurs hémorragies rétiniennes au niveau du pôle postérieur des deux côtés et le médecin traitant était invité à procéder à un contrôle des facteurs de risques cardio-vasculaires et glycémiques afin d’éviter une aggravation du tableau clinique. Dans ses déterminations du 12 mars 2020, l’office AI a souligné que la pathologie oculaire lui était connue et que le rapport précité se limitait à préconiser un contrôle des facteurs de risques sans se prononcer sur la capacité de travail. Il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singulièrement sur le degré d’invalidité à la base de cette prestation.</w:t>
      </w:r>
    </w:p>
    <w:p>
      <w:r>
        <w:t>- 8 - 3.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D’après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w:t>
      </w:r>
    </w:p>
    <w:p>
      <w:r>
        <w:t>- 9 -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aa)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w:t>
      </w:r>
    </w:p>
    <w:p>
      <w:r>
        <w:t>- 10 - étant précisé que le fardeau de la preuve matérielle incombe à la personne requérante (ATF 141 V 281 consid. 3.7). bb) Cette nouvelle jurisprudence précise qu’une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w:t>
      </w:r>
    </w:p>
    <w:p>
      <w:r>
        <w:t>- 11 -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5. En l’espèce, l’office intimé a retenu que la recourante dispose, malgré les atteintes qu’elle présente, d’une pleine capacité résiduelle de travail dans une activité adaptée à ses limitations fonctionnelles rachidiennes (pas de port de charges répétitif au-delà de 5 kg, pas de port de charges occasionnel au-delà de 10 kg, pas de posture en porte-à-faux lombaire, pas de mouvement répétitif de flexion-extension ou rotation lombaire et pas de position debout au-delà de 30 minutes). a) Pour fonder son appréciation, l’office AI s’est basé sur l’expertise pluridisciplinaire de la Policlinique Médicale K.________ du 5 février 2019. Celle-ci porte sur l’ensemble des atteintes à la santé de la recourante. Les experts ont fait une étude circonstanciée de la situation et ont procédé à une anamnèse complète aussi bien sur le plan personnel, familial que professionnel et psychosocial. Ils ont résumé tous les éléments médicaux à leur disposition, ont rendu compte des plaintes de la recourante, les ont confrontées à leurs constatations objectives et ont posé des conclusions claires. Les médecins de la Policlinique Médicale K.________ ont également déterminé quels étaient les empêchements entraînés dans la vie quotidienne par les atteintes à la santé (ATF 134 V 109 consid. 10.2.4 ; TF 8C_459/2017 du 16 avril 2018 consid. 5.2) et</w:t>
      </w:r>
    </w:p>
    <w:p>
      <w:r>
        <w:t>- 12 - étudié les traitements mis en place. Leur appréciation médicale est précise, détaillée et motivée. aa) Au terme de leur évaluation consensuelle, les experts ont considéré que, dans la mesure où son insertion socioprofessionnelle avait été réussie, les ressources adaptatives de la recourante apparaissaient satisfaisantes. De son côté, le Dr Z.________ a relevé que la capacité de l’intéressée d’intégrer les règles et les routines n’était pas altérée. Outre des ressources intellectuelles dans les normes, elle dispose d’un potentiel de flexibilité et de capacités adaptatives qu’elle n’exploite pas en raison de facteurs qui ne sont pas essentiellement médicaux. Dans des emplois pratiques, le potentiel de la recourante s’est toujours avéré suffisant pour répondre à son cahier des charges et elle dispose de compétences spécifiques reconnues en Suisse. Dans le cadre de sa vie professionnelle, il n’y a par ailleurs aucun indice pour retenir une altération du sens du contact avec des tiers. A cela s’ajoute que la capacité de jugement et de prise de décision ne se heurte pas à de graves troubles de la logique ou une autre altération significative des capacités cognitives. Dans des raisonnements concrets, elle est en mesure de comprendre ce que l’on attend d’elle et d’effectuer des prises de décision adéquates. Les capacités d’affirmation sont présentes et l’endurance n’est pas gravement abaissée. D’après le Dr Z.________, les plaintes de la recourante en ce qui concerne son dynamisme doivent être pondérées par des facteurs contextuels tels qu’un déménagement l’ayant éloignée de certaines relations amicales. Il en résulte une sous-exploitation de son potentiel relationnel, pourtant présent. S’agissant enfin des activités de la vie quotidienne, les experts ont relevé que la recourante faisait un peu de ménage, passait l’aspirateur, lavait et pliait le linge. bb) Les experts somaticiens ont relevé des discordances lors de leurs examens cliniques qui s’intégraient dans une recherche inconsciente de bénéfices secondaires (cf. rapport de synthèse du 5 février 2019, p. 5). Ainsi, alors que la recourante n’avait montré aucune difficulté ni gestes de souffrance pour ramasser son sac à main qui était tombé par terre lors de l’entretien avec la Dre S.________, le déshabillage</w:t>
      </w:r>
    </w:p>
    <w:p>
      <w:r>
        <w:t>- 13 - et l’habillage ainsi que la mobilisation sur la table d’examen semblaient beaucoup plus pénibles. A l’instar de plusieurs de ses confrères, le Dr N.________ s’est dit frappé par un comportement extrêmement algique, démonstratif et majorant de la part de la recourante, ce qui avait rendu l’anamnèse difficile chez une patiente digressive et peu précise. Pour ces mêmes raisons, l’examen clinique s’était également révélé particulièrement difficile. Aux yeux du Dr N.________, il ne faisait aucun doute qu’il existait sur le plan neurologique des incohérences majeures et une absence de plausibilité entre les plaintes formulées par la recourante et les constatations objectives. Pour sa part, le Dr Z.________ a aussi observé que certains indices orientaient vers la recherche de bénéfices secondaires chez une assurée qui semblait rechercher une reconnaissance médicale dans un contexte psychosocial particulier (charge émotionnelle constituée par son fils qui souffrirait d’une pathologie psychotique, faible intégration linguistique malgré un potentiel intellectuel dans les normes). b) Aucune pièce au dossier ne vient corroborer les allégations de la recourante quant à une aggravation de son état de santé. Les rapports de l’Hôpital ophtalmique B.________ des 25 juillet 2019 et 6 février 2020 n’attestent que de consultations sporadiques dans le cadre d’un suivi d’une rétinopathie diabétique pré-proliférative bilatérale. Rédigés à l’intention du Dr J.________, ces rapports ont pour seul objectif de l’inviter à procéder à un contrôle des facteurs de risques cardio-vasculaires et glycémiques afin d’éviter une aggravation du tableau clinique. C’est ici le lieu de relever que les experts de la Policlinique Médicale K.________ ont retenu que, du fait de la restriction du champ visuel en lien avec la rétinopathie, la conduite professionnelle était à exclure ainsi que tout travail nécessitant une bonne vision périphérique. Outre que les documents précités ne contiennent aucune appréciation de la capacité de travail, ils ne formulent aucune critique à l’encontre des conclusions de l’expertise pluridisciplinaire. Il en va de même du rapport du Dr J.________ du 28 octobre 2019. Bref et peu étayé, il ne permet pas d’admettre une incapacité totale de travail en toute activité. Il ne fait en effet pas état d’élément qui n’aurait pas été pris en compte par les experts de la Policlinique Médicale K.________ ou qui justifierait de plus amples</w:t>
      </w:r>
    </w:p>
    <w:p>
      <w:r>
        <w:t>- 14 - restrictions dans l’exercice d’une activité adaptée. On relèvera encore que le Dr J.________ ne s’est pas exprimé sur la teneur du rapport d’expertise pluridisciplinaire ni n’a communiqué aucun constat clinique qui n’aurait pas été analysé par la Policlinique Médicale K.________. c) En conséquence, c’est à juste titre que l’intimé a suivi l’opinion exprimée par les experts de la Policlinique Médicale K.________ le 5 février 2019 et retenu que la recourante disposait depuis 2014 d’une capacité de travail entière dans une activité adaptée à ses limitations fonctionnelles. 6. Cela étant constaté, il y a lieu de déterminer le degré d’invalidité de la recourante.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Dès lors que la demande de prestations a été déposée le 31 décembre 2014, le droit éventuel à la rente prend naissance le 1er juin 2015 au plus tôt (art. 29 al. 1 et 3 LAI). L’année de référence pour procéder à la comparaison des revenus est par conséquent l’année 2015.</w:t>
      </w:r>
    </w:p>
    <w:p>
      <w:r>
        <w:t>- 15 - b) aa)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bb) En l'espèce, il n’y a pas de raison de s’écarter du dernier revenu réalisé par la recourante en 2012 auprès de la société Q.________ SA soit 40'912 fr. (cf. extrait du compte individuel du 4 mars 2015) pour déterminer son revenu avant invalidité. Indexé à 2015, ce montant s'élève à 41'694 francs. c) aa) S'agissant du revenu avec invalidité,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bb)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 activité lucrative (cf. ATF 134 V 322 consid.</w:t>
      </w:r>
    </w:p>
    <w:p>
      <w:r>
        <w:t>- 16 - 5.2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cc) Dans le cas présent, le salaire de référence pour des femmes exerçant des tâches physiques ou manuelles simples dans le secteur privé (production et services), était, en 2014, de 4’300 fr. par mois, part au treizième salaire comprise (ESS 2014, TA 1_tirage_skill_level, niveau de compétences 1). Compte tenu de la durée hebdomadaire de travail dans les entreprises en 2015 (41,7 heures) et de l’indexation à cette même année (0,4 %), ce montant doit être porté à 4’500 fr. 68, correspondant à un salaire annuel de 54'008 fr. 17. L’office intimé a retenu un abattement de 15 % afin de tenir compte des limitations fonctionnelles et de l’âge, taux dont il n’y a pas lieu de s’écarter. Des facteurs tels que le manque de formation ou les difficultés linguistiques ne constituent pas, au regard des activités qui lui sont accessibles, des facteurs susceptibles d’avoir une influence sur les perspectives salariales de la recourante, de sorte qu’il n’y a pas lieu d’en tenir compte. Il s’ensuit que le revenu d’invalide doit être fixé à 45'906 fr. 95.</w:t>
      </w:r>
    </w:p>
    <w:p>
      <w:r>
        <w:t>- 17 - d) Dans la mesure où le revenu sans invalidité est supérieur au revenu d’invalide, il n’y a pas de préjudice économique. Partant, le droit à une rente d’invalidité doit être nié. 7. La recourante laisse entendre que son état de santé prohiberait l’exercice d’une activité lucrative (cf. rapport du Dr J.________ du 28 octobre 2019).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w:t>
      </w:r>
    </w:p>
    <w:p>
      <w:r>
        <w:t>- 18 - l'utilisation de la capacité de travail résiduelle (TFA I 377/98 du 28 juillet 1999 consid. 1 et les références, in VSI 1999 p. 246). b) Sur le plan personnel et professionnel, la mise en valeur de la capacité résiduelle de travail dans une activité adaptée apparaît exigible. Si l’âge de la recourante (57 ans lorsque la décision attaquée a été rendue), les restrictions induites par ses limitations fonctionnelles et son éloignement prolongé du marché du travail peuvent limiter dans une certaine mesure ses possibilités de retrouver un emploi, on ne saurait considérer qu'ils rendent cette perspective illusoire. En effet, le marché du travail offre un large éventail d'activités légères, dont on doit convenir qu'un certain nombre sont adaptées aux limitations de la recourante et accessibles sans aucune formation particulière. A titre d'exemples, on peut citer des tâches simples de surveillance, de vérification ou de contrôle. 8. a) Partant,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de les arrêter à 400 fr. et de les mettre à la charge de la recourante, qui succombe (art. 49 al. 1 LPA-VD, applicable par renvoi des art. 91 et 99 LPA-VD). c) Il n’y a pas lieu d’allouer de dépens, la recourante n’obtenant pas gain de cause (art. 61 let. g LPGA a contrario ; art. 55 LPA- VD).</w:t>
      </w:r>
    </w:p>
    <w:p>
      <w:r>
        <w:t>- 19 - Par ces motifs, la Cour des assurances sociales p r o n o n c e : I. Le recours est rejeté. II. La décision rendue le 10 octobre 2019 par l’Office de l’assurance-invalidité pour le canton de Vaud est confirmée. III. Les frais judiciaires, arrêtés à 400 fr. (quatre cents francs), sont mis à la charge de M.________. IV. Il n’est pas alloué de dépens. Le président : Le greffier : Du</w:t>
      </w:r>
    </w:p>
    <w:p>
      <w:r>
        <w:t>- 20 - L'arrêt qui précède, dont la rédaction a été approuvée à huis clos, est notifié à : - Mme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