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ZD19.048922 vom 12. November 2021</w:t>
      </w:r>
    </w:p>
    <w:p>
      <w:r>
        <w:t>VD Tribunal cantonal, 2021-11-12, FR</w:t>
      </w:r>
    </w:p>
    <w:p>
      <w:r>
        <w:rPr>
          <w:b/>
        </w:rPr>
        <w:t xml:space="preserve">Quelle: </w:t>
      </w:r>
      <w:r>
        <w:t>https://mcp.opencaselaw.ch/entscheid/vd_gerichte_ZD19.048922</w:t>
      </w:r>
    </w:p>
    <w:p>
      <w:r>
        <w:t>FR: VD_GERICHTE ZD19.048922 du 12 novembre 2021</w:t>
      </w:r>
    </w:p>
    <w:p>
      <w:r>
        <w:t>IT: VD_GERICHTE ZD19.048922 del 12 novembre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l'espèce, le litige concerne le droit du recourant à des contributions annuelles d'amortissement pour un véhicule à moteur.</w:t>
      </w:r>
    </w:p>
    <w:p>
      <w:r>
        <w:rPr>
          <w:b/>
        </w:rPr>
        <w:t>E. 3</w:t>
      </w:r>
    </w:p>
    <w:p>
      <w:r>
        <w:t>S'agissant du reproche du recourant selon lequel l'intimé aurait dû le rencontrer pour discuter avec lui de son activité professionnelle, il est rappelé que les garanties minimales en matière de droit d'être entendu découlant de l'art. 29 al. 2 Cst. ne comprennent pas le droit d'être entendu oralement, pas plus du reste que l'art. 42 LPGA, lequel s'applique à la procédure administrative en matière d'assurances sociales (ATF 134 I 140 consid. 5.3 ; TF 9C_647/2010 du 6 décembre 2010 consid. 2.2 et les références citées). Le recourant – lequel a d'ailleurs été</w:t>
      </w:r>
    </w:p>
    <w:p>
      <w:r>
        <w:t>- 6 - invité à se déterminer, ce qu'il a fait par courriers des 5 juillet et 8 juillet 2019 – ne saurait donc rien tirer de ce grief.</w:t>
      </w:r>
    </w:p>
    <w:p>
      <w:r>
        <w:rPr>
          <w:b/>
        </w:rPr>
        <w:t>E. 4</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fédérale du DFI [Département fédéral de intérieur]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L’assuré n’a</w:t>
      </w:r>
    </w:p>
    <w:p>
      <w:r>
        <w:t>- 7 -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OMAI). L'annexe de l'OMAI mentionne sous ch. 10.04*, en lien avec le ch. 10 phrase introductive, les voitures automobiles destinées aux assurés qui, exerçant d'une manière probablement durable une activité leur permettant de couvrir leurs besoins, ne peuvent se passer d'un véhicule à moteur personnel pour se rendre à leur travail. L'indemnisation a lieu sous la forme de contributions d'amortissement (ch. 10.04.1* de la circulaire de l'OFAS concernant la remise des moyens auxiliaires par l'assurance- invalidité [CMAI]). L’assuré doit avoir recours à un véhicule à moteur en raison de son invalidité lorsque, suite à cette invalidité, il ne peut plus effectuer le trajet jusqu’à son travail ni à pied, ni à vélo, ni au moyen d’un transport public, ou qu’on ne peut raisonnablement attendre cela de lui (ch. 2087 CMAI). Au cas où, dans la même situation (par ex. endroit isolé sans transports publics, collaborateur du service extérieur), une personne non invalide devrait aussi avoir recours à un véhicule à moteur, l’OAI ne prend pas les frais en charge (ch. 2088 CMAI). Pour juger - de manière hypothétique - de cette question, il faut tenir compte de l'ensemble des circonstances du cas particulier. La nécessité d'un véhicule peut être due à des motifs d'ordre strictement professionnel (par exemple lorsque le requérant exerce la profession de chauffeur de taxi, de représentant de commerce ou de transporteur de marchandises) ou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Le droit à des contributions d'amortissement pour une voiture automobile ne peut donc pas être refusé au seul motif que l'intéressé utiliserait de toute façon une automobile même sans invalidité.</w:t>
      </w:r>
    </w:p>
    <w:p>
      <w:r>
        <w:t>- 8 - Pour nier l'existence d'un tel droit, on doit bien plutôt pouvoir admettre que l'ensemble des circonstances du cas particulier obligerait également une personne non invalide à utiliser un véhicule automobile (ATF 97 V 239 s. consid. 3b ; SVR 2001 IV n° 33 consid. 3 ; Praxis 1991 n° 215 consid. 2c ; TF I 612/05 du 22 septembre 2006 consid. 4.1).</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1er avril 2015 consid. 3.2). c)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t>- 9 -</w:t>
      </w:r>
    </w:p>
    <w:p>
      <w:r>
        <w:rPr>
          <w:b/>
        </w:rPr>
        <w:t>E. 6</w:t>
      </w:r>
    </w:p>
    <w:p>
      <w:r>
        <w:t>En l'espèce, il y a lieu d'examiner si le recourant a droit à l'octroi d'une indemnité d'amortissement pour son véhicule automobile. a) S'agissant de la première condition relative à l'exercice par le recourant d'une activité professionnelle probablement durable lui permettant de couvrir ses besoins, son admission par l'intimé n'est pas contestée par les parties. Il n'est toutefois pas nécessaire d'examiner ce point plus avant, au vu du sort du recours (cf. consid. 6b infra). b) Pour ce qui est de la seconde condition, à savoir la nécessité de disposer d'un véhicule automobile en raison de l'atteinte à la santé, force est de constater, à l'instar de l'intimé, qu'elle n'est pas réalisée en l'espèce. En effet, compte tenu des explications du recourant du 5 juillet 2019 – auxquelles il doit être accordé la préférence, selon la jurisprudence dite des premières déclarations (cf. consid. 5c supra) –, il y a lieu de retenir qu'il effectue régulièrement des livraisons à l'aide de son véhicule privé, se rend auprès de ses clients, que cela soit pour des expertises, des conseils ou de l'identification de produits, et se déplace auprès des autorités douanières lorsque cela est nécessaire. De surcroît, le recourant indique de manière explicite que son activité se déroule intégralement auprès de sa clientèle, ce qui, partant, justifie des déplacements, et que les livraisons et la promotion de son activité cesseraient s'il ne disposait plus de sa voiture. Il est relevé que les indications du 5 juillet 2019 du recourant concordent, d'une part, avec le but commercial inscrit au registre du commerce de la société E.________ Sàrl, à savoir proposer des conseils concernant l'identification de la qualité des épices, poivres, sels, huiles et herbes aromatiques, tout en commercialisant lesdits produits, et, d'autre part, avec les explications fournies par le recourant dans sa demande du 28 mai 2019, aux termes de laquelle il signalait que son véhicule lui permettait de réaliser l'intégralité de ses tâches professionnelles, lesquelles consistaient à visiter ses clients, se rendre à</w:t>
      </w:r>
    </w:p>
    <w:p>
      <w:r>
        <w:t>- 10 - ses rendez-vous ou effectuer des livraisons. Dans ces circonstances, il est exact de considérer que le véhicule automobile constitue un instrument de travail indispensable au recourant. De même, il doit être admis que l'ensemble des circonstances du cas particulier et le type d'activité entreprise – soit conseiller des clients finaux, lesquelles semblent dispersés, à tout le moins, dans toute la Suisse romande, notamment dans les cantons de Vaud et Fribourg, ainsi que leur vendre et leur livrer une marchandise haut de gamme produite par des artisans extérieurs, se situant possiblement à l'étranger – obligeraient une personne non invalide à faire le même usage du véhicule automobile que le recourant. En effet, il paraît hautement vraisemblable qu'un concurrent du recourant, placé dans les mêmes conditions, se rendrait à ses rendez-vous professionnels et effectuerait ses livraisons en utilisant un véhicule, plutôt que de se fier aux transports en commun. L'utilisation d'une voiture n'est ainsi pas nécessitée par l'invalidité, ce qui justifie déjà de nier tout droit au recourant à des contributions d'amortissement pour son véhicule automobile, sans avoir à examiner, pour le surplus, si l'activité de l'intéressé serait comparable à celle d'un représentant de commerce.</w:t>
      </w:r>
    </w:p>
    <w:p>
      <w:r>
        <w:rPr>
          <w:b/>
        </w:rPr>
        <w:t>E. 7</w:t>
      </w:r>
    </w:p>
    <w:p>
      <w:r>
        <w:t>a) En définitive, le recours de Q.________ doit être rejeté. Partant, la décision du 23 octobre 2019 est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